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4536"/>
        <w:gridCol w:w="4536"/>
      </w:tblGrid>
      <w:tr>
        <w:tc>
          <w:tcPr>
            <w:tcW w:type="dxa" w:w="453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after="0" w:before="0" w:line="360" w:lineRule="auto"/>
              <w:jc w:val="start"/>
            </w:pPr>
            <w:r>
              <w:rPr>
                <w:rFonts w:ascii="David" w:cs="David" w:eastAsia="David" w:hAnsi="David"/>
                <w:b/>
                <w:bCs/>
                <w:sz w:val="26"/>
                <w:szCs w:val="26"/>
                <w:rtl/>
              </w:rPr>
              <w:t xml:space="preserve">בבית המשפט לענייני משפחה בחיפה</w:t>
            </w:r>
          </w:p>
        </w:tc>
        <w:tc>
          <w:tcPr>
            <w:tcW w:type="dxa" w:w="4536"/>
            <w:tcBorders>
              <w:top w:val="none" w:color="FFFFFF" w:sz="0"/>
              <w:left w:val="none" w:color="FFFFFF" w:sz="0"/>
              <w:bottom w:val="none" w:color="FFFFFF" w:sz="0"/>
              <w:right w:val="none" w:color="FFFFFF" w:sz="0"/>
            </w:tcBorders>
            <w:tcMar>
              <w:top w:type="dxa" w:w="60"/>
              <w:left w:type="dxa" w:w="100"/>
              <w:bottom w:type="dxa" w:w="60"/>
              <w:right w:type="dxa" w:w="100"/>
            </w:tcMar>
          </w:tcPr>
          <w:p>
            <w:pPr>
              <w:bidi/>
              <w:spacing w:after="0" w:before="0" w:line="360" w:lineRule="auto"/>
              <w:jc w:val="end"/>
            </w:pPr>
            <w:r>
              <w:rPr>
                <w:rFonts w:ascii="David" w:cs="David" w:eastAsia="David" w:hAnsi="David"/>
                <w:b/>
                <w:bCs/>
                <w:sz w:val="26"/>
                <w:szCs w:val="26"/>
                <w:rtl/>
              </w:rPr>
              <w:t xml:space="preserve">מספר תיק: ______________</w:t>
            </w:r>
          </w:p>
        </w:tc>
      </w:tr>
    </w:tbl>
    <w:p>
      <w:pPr>
        <w:bidi/>
        <w:spacing w:after="0" w:before="120" w:line="360" w:lineRule="auto"/>
        <w:jc w:val="both"/>
      </w:pPr>
      <w:r>
        <w:rPr>
          <w:rFonts w:ascii="David" w:cs="David" w:eastAsia="David" w:hAnsi="David"/>
          <w:b/>
          <w:bCs/>
          <w:sz w:val="24"/>
          <w:szCs w:val="24"/>
          <w:rtl/>
        </w:rPr>
        <w:t xml:space="preserve">המבקשת:</w:t>
      </w:r>
      <w:r>
        <w:rPr>
          <w:rFonts w:ascii="David" w:cs="David" w:eastAsia="David" w:hAnsi="David"/>
          <w:b w:val="false"/>
          <w:bCs w:val="false"/>
          <w:sz w:val="24"/>
          <w:szCs w:val="24"/>
          <w:rtl/>
        </w:rPr>
        <w:t xml:space="preserve">	__________, ת.ז. __________, מרחוב __________, __________</w:t>
      </w:r>
    </w:p>
    <w:p>
      <w:pPr>
        <w:bidi/>
        <w:spacing w:after="0" w:before="0" w:line="360" w:lineRule="auto"/>
        <w:jc w:val="both"/>
      </w:pPr>
      <w:r>
        <w:rPr>
          <w:rFonts w:ascii="David" w:cs="David" w:eastAsia="David" w:hAnsi="David"/>
          <w:b w:val="false"/>
          <w:bCs w:val="false"/>
          <w:sz w:val="24"/>
          <w:szCs w:val="24"/>
          <w:rtl/>
        </w:rPr>
        <w:t xml:space="preserve">		ע"י ב"כ עו"ד __________, מ.ר. __________, מרחוב __________</w:t>
      </w:r>
    </w:p>
    <w:p>
      <w:pPr>
        <w:bidi/>
        <w:spacing w:after="60" w:before="60" w:line="360" w:lineRule="auto"/>
        <w:jc w:val="center"/>
      </w:pPr>
      <w:r>
        <w:rPr>
          <w:rFonts w:ascii="David" w:cs="David" w:eastAsia="David" w:hAnsi="David"/>
          <w:b/>
          <w:bCs/>
          <w:sz w:val="24"/>
          <w:szCs w:val="24"/>
          <w:rtl/>
        </w:rPr>
        <w:t xml:space="preserve">- נ ג ד -</w:t>
      </w:r>
    </w:p>
    <w:p>
      <w:pPr>
        <w:bidi/>
        <w:spacing w:after="0" w:before="0" w:line="360" w:lineRule="auto"/>
        <w:jc w:val="both"/>
      </w:pPr>
      <w:r>
        <w:rPr>
          <w:rFonts w:ascii="David" w:cs="David" w:eastAsia="David" w:hAnsi="David"/>
          <w:b/>
          <w:bCs/>
          <w:sz w:val="24"/>
          <w:szCs w:val="24"/>
          <w:rtl/>
        </w:rPr>
        <w:t xml:space="preserve">המשיב:</w:t>
      </w:r>
      <w:r>
        <w:rPr>
          <w:rFonts w:ascii="David" w:cs="David" w:eastAsia="David" w:hAnsi="David"/>
          <w:b w:val="false"/>
          <w:bCs w:val="false"/>
          <w:sz w:val="24"/>
          <w:szCs w:val="24"/>
          <w:rtl/>
        </w:rPr>
        <w:t xml:space="preserve">	__________, ת.ז. __________, מרחוב __________, __________</w:t>
      </w:r>
    </w:p>
    <w:p>
      <w:pPr>
        <w:bidi/>
        <w:spacing w:after="160" w:before="160" w:line="360" w:lineRule="auto"/>
        <w:jc w:val="center"/>
      </w:pPr>
      <w:r>
        <w:rPr>
          <w:rFonts w:ascii="David" w:cs="David" w:eastAsia="David" w:hAnsi="David"/>
          <w:b/>
          <w:bCs/>
          <w:sz w:val="32"/>
          <w:szCs w:val="32"/>
          <w:u w:val="double"/>
          <w:rtl/>
        </w:rPr>
        <w:t xml:space="preserve">בקשה להארכת תוקפו של צו הגנה</w:t>
      </w:r>
    </w:p>
    <w:p>
      <w:pPr>
        <w:bidi/>
        <w:spacing w:after="140" w:before="0" w:line="360" w:lineRule="auto"/>
        <w:jc w:val="center"/>
      </w:pPr>
      <w:r>
        <w:rPr>
          <w:rFonts w:ascii="David" w:cs="David" w:eastAsia="David" w:hAnsi="David"/>
          <w:b/>
          <w:bCs/>
          <w:sz w:val="24"/>
          <w:szCs w:val="24"/>
          <w:rtl/>
        </w:rPr>
        <w:t xml:space="preserve">(לפי סעיף 5 לחוק למניעת אלימות במשפחה, התשנ"א–1991)</w:t>
      </w:r>
    </w:p>
    <w:p>
      <w:pPr>
        <w:bidi/>
        <w:spacing w:after="60" w:before="0" w:line="360" w:lineRule="auto"/>
        <w:jc w:val="both"/>
      </w:pPr>
      <w:r>
        <w:rPr>
          <w:rFonts w:ascii="David" w:cs="David" w:eastAsia="David" w:hAnsi="David"/>
          <w:b w:val="false"/>
          <w:bCs w:val="false"/>
          <w:sz w:val="24"/>
          <w:szCs w:val="24"/>
          <w:rtl/>
        </w:rPr>
        <w:t xml:space="preserve">בית המשפט הנכבד מתבקש בזאת להאריך בשלושה חודשים נוספים את תוקפו של צו ההגנה שניתן כנגד המשיב ביום 11.3.2026 ופוקע ביום 16.9.2026 — עד ליום 16.12.2026, על כל תנאיו; וכן לקבוע דיון דחוף בטרם יפקע הצו. ואלו נימוקי הבקשה:</w:t>
      </w:r>
    </w:p>
    <w:p>
      <w:pPr>
        <w:bidi/>
        <w:keepNext/>
        <w:spacing w:after="120" w:before="240" w:line="360" w:lineRule="auto"/>
        <w:jc w:val="start"/>
      </w:pPr>
      <w:r>
        <w:rPr>
          <w:rFonts w:ascii="David" w:cs="David" w:eastAsia="David" w:hAnsi="David"/>
          <w:b/>
          <w:bCs/>
          <w:sz w:val="24"/>
          <w:szCs w:val="24"/>
          <w:u w:val="single"/>
          <w:rtl/>
        </w:rPr>
        <w:t xml:space="preserve">א. הרקע</w:t>
      </w:r>
    </w:p>
    <w:p>
      <w:pPr>
        <w:pStyle w:val="ListParagraph"/>
        <w:numPr>
          <w:ilvl w:val="0"/>
          <w:numId w:val="2"/>
        </w:numPr>
        <w:bidi/>
        <w:spacing w:after="120" w:before="0" w:line="360" w:lineRule="auto"/>
        <w:jc w:val="both"/>
      </w:pPr>
      <w:r>
        <w:rPr>
          <w:rFonts w:ascii="David" w:cs="David" w:eastAsia="David" w:hAnsi="David"/>
          <w:b w:val="false"/>
          <w:bCs w:val="false"/>
          <w:sz w:val="24"/>
          <w:szCs w:val="24"/>
          <w:rtl/>
        </w:rPr>
        <w:t xml:space="preserve">המבקשת והמשיב היו בני זוג, ולהם ______ ילדים קטינים (להלן: "הקטינים"), המתגוררים עמה ובאחריותה. המשיב הוא "בן משפחה" כהגדרתו בסעיף 1 לחוק למניעת אלימות במשפחה, התשנ"א–1991 (להלן: "החוק"), והמבקשת מתגוררת בתחום שיפוט זה.</w:t>
      </w:r>
    </w:p>
    <w:p>
      <w:pPr>
        <w:pStyle w:val="ListParagraph"/>
        <w:numPr>
          <w:ilvl w:val="0"/>
          <w:numId w:val="2"/>
        </w:numPr>
        <w:bidi/>
        <w:spacing w:after="120" w:before="0" w:line="360" w:lineRule="auto"/>
        <w:jc w:val="both"/>
      </w:pPr>
      <w:r>
        <w:rPr>
          <w:rFonts w:ascii="David" w:cs="David" w:eastAsia="David" w:hAnsi="David"/>
          <w:b w:val="false"/>
          <w:bCs w:val="false"/>
          <w:sz w:val="24"/>
          <w:szCs w:val="24"/>
          <w:rtl/>
        </w:rPr>
        <w:t xml:space="preserve">ביום 11.3.2026 ניתן צו הגנה כנגד המשיב, ובו נאסר עליו __________, על יסוד __________. תוקפו פוקע ביום 16.9.2026 (מצ"ב כנספח א').</w:t>
      </w:r>
    </w:p>
    <w:p>
      <w:pPr>
        <w:bidi/>
        <w:keepNext/>
        <w:spacing w:after="120" w:before="240" w:line="360" w:lineRule="auto"/>
        <w:jc w:val="start"/>
      </w:pPr>
      <w:r>
        <w:rPr>
          <w:rFonts w:ascii="David" w:cs="David" w:eastAsia="David" w:hAnsi="David"/>
          <w:b/>
          <w:bCs/>
          <w:sz w:val="24"/>
          <w:szCs w:val="24"/>
          <w:u w:val="single"/>
          <w:rtl/>
        </w:rPr>
        <w:t xml:space="preserve">ב. הסכנה מן המשיב לא חלפה</w:t>
      </w:r>
    </w:p>
    <w:p>
      <w:pPr>
        <w:pStyle w:val="ListParagraph"/>
        <w:numPr>
          <w:ilvl w:val="0"/>
          <w:numId w:val="2"/>
        </w:numPr>
        <w:bidi/>
        <w:spacing w:after="120" w:before="0" w:line="360" w:lineRule="auto"/>
        <w:jc w:val="both"/>
      </w:pPr>
      <w:r>
        <w:rPr>
          <w:rFonts w:ascii="David" w:cs="David" w:eastAsia="David" w:hAnsi="David"/>
          <w:b w:val="false"/>
          <w:bCs w:val="false"/>
          <w:sz w:val="24"/>
          <w:szCs w:val="24"/>
          <w:rtl/>
        </w:rPr>
        <w:t xml:space="preserve">מאז מתן הצו לא חל שינוי בנסיבות שבעטיין ניתן: המשיב לא נטל חלק בהליך טיפולי, לא הציג כל ראיה לשינוי בהתנהלותו, ולא הובא לידיעת המבקשת ולו טעם אחד שיש בו כדי ללמד כי הסכנה חלפה. יתרה מכך, __________ (מצ"ב כנספח ב').</w:t>
      </w:r>
    </w:p>
    <w:p>
      <w:pPr>
        <w:pStyle w:val="ListParagraph"/>
        <w:numPr>
          <w:ilvl w:val="0"/>
          <w:numId w:val="2"/>
        </w:numPr>
        <w:bidi/>
        <w:spacing w:after="120" w:before="0" w:line="360" w:lineRule="auto"/>
        <w:jc w:val="both"/>
      </w:pPr>
      <w:r>
        <w:rPr>
          <w:rFonts w:ascii="David" w:cs="David" w:eastAsia="David" w:hAnsi="David"/>
          <w:b w:val="false"/>
          <w:bCs w:val="false"/>
          <w:sz w:val="24"/>
          <w:szCs w:val="24"/>
          <w:rtl/>
        </w:rPr>
        <w:t xml:space="preserve">ודוק; השקט היחסי בתקופת תוקפו של הצו אינו מלמד כי הסכנה חלפה, כי אם על יעילותו. גם אם יטען המשיב כי בתקופה זו לא אירע דבר, קבלת הטענה משמעה כי דווקא הצלחתו של הצו תשמש עילה לביטולו — וזו תוצאה שאין הדעת סובלתה.</w:t>
      </w:r>
    </w:p>
    <w:p>
      <w:pPr>
        <w:pStyle w:val="ListParagraph"/>
        <w:numPr>
          <w:ilvl w:val="0"/>
          <w:numId w:val="2"/>
        </w:numPr>
        <w:bidi/>
        <w:spacing w:after="120" w:before="0" w:line="360" w:lineRule="auto"/>
        <w:jc w:val="both"/>
      </w:pPr>
      <w:r>
        <w:rPr>
          <w:rFonts w:ascii="David" w:cs="David" w:eastAsia="David" w:hAnsi="David"/>
          <w:b w:val="false"/>
          <w:bCs w:val="false"/>
          <w:sz w:val="24"/>
          <w:szCs w:val="24"/>
          <w:rtl/>
        </w:rPr>
        <w:t xml:space="preserve">במקביל, נעדר המשיב משישה מפגשים שבועיים עם הקטינים במרכז הקשר "פל"א", שאת קיומם נטל על עצמו: בימים ______, ______, ______, ______, ______ ו-______. הודעותיו נמסרות שעות ספורות בטרם המפגש — ולא ימים מראש, כמתחייב ממסגרת מלווה — ובלא כל נימוק (מצ"ב אישור מרכז הקשר והעתקי ההודעות, כנספחים ג'–ד').</w:t>
      </w:r>
    </w:p>
    <w:p>
      <w:pPr>
        <w:pStyle w:val="ListParagraph"/>
        <w:numPr>
          <w:ilvl w:val="0"/>
          <w:numId w:val="2"/>
        </w:numPr>
        <w:bidi/>
        <w:spacing w:after="120" w:before="0" w:line="360" w:lineRule="auto"/>
        <w:jc w:val="both"/>
      </w:pPr>
      <w:r>
        <w:rPr>
          <w:rFonts w:ascii="David" w:cs="David" w:eastAsia="David" w:hAnsi="David"/>
          <w:b w:val="false"/>
          <w:bCs w:val="false"/>
          <w:sz w:val="24"/>
          <w:szCs w:val="24"/>
          <w:rtl/>
        </w:rPr>
        <w:t xml:space="preserve">אין המדובר בעניין טכני: הקטינים מוכנים למפגש ומצפים לו, וביטול ברגע האחרון מותיר אותם מאוכזבים. מי שאינו מקיים מפגש שבועי אחד במסגרת מוגנת ומפוקחת, אינו יכול להישמע בטענה כי הסכנה שנשקפה ממנו חלפה.</w:t>
      </w:r>
    </w:p>
    <w:p>
      <w:pPr>
        <w:bidi/>
        <w:keepNext/>
        <w:spacing w:after="120" w:before="240" w:line="360" w:lineRule="auto"/>
        <w:jc w:val="start"/>
      </w:pPr>
      <w:r>
        <w:rPr>
          <w:rFonts w:ascii="David" w:cs="David" w:eastAsia="David" w:hAnsi="David"/>
          <w:b/>
          <w:bCs/>
          <w:sz w:val="24"/>
          <w:szCs w:val="24"/>
          <w:u w:val="single"/>
          <w:rtl/>
        </w:rPr>
        <w:t xml:space="preserve">ג. המסגרת המשפטית והסעד</w:t>
      </w:r>
    </w:p>
    <w:p>
      <w:pPr>
        <w:pStyle w:val="ListParagraph"/>
        <w:numPr>
          <w:ilvl w:val="0"/>
          <w:numId w:val="2"/>
        </w:numPr>
        <w:bidi/>
        <w:spacing w:after="120" w:before="0" w:line="360" w:lineRule="auto"/>
        <w:jc w:val="both"/>
      </w:pPr>
      <w:r>
        <w:rPr>
          <w:rFonts w:ascii="David" w:cs="David" w:eastAsia="David" w:hAnsi="David"/>
          <w:b w:val="false"/>
          <w:bCs w:val="false"/>
          <w:sz w:val="24"/>
          <w:szCs w:val="24"/>
          <w:rtl/>
        </w:rPr>
        <w:t xml:space="preserve">סעיף 5 לחוק קובע כי צו הגנה לא יעמוד בתוקפו תקופה העולה על שלושה חודשים; כי בית המשפט רשאי להאריכו מפעם לפעם, ובלבד שהתקופה הכוללת לא תעלה על שישה חודשים; ומנימוקים מיוחדים שיפורטו בהחלטה — לתקופה כוללת שלא תעלה על שנה.</w:t>
      </w:r>
    </w:p>
    <w:p>
      <w:pPr>
        <w:pStyle w:val="ListParagraph"/>
        <w:numPr>
          <w:ilvl w:val="0"/>
          <w:numId w:val="2"/>
        </w:numPr>
        <w:bidi/>
        <w:spacing w:after="120" w:before="0" w:line="360" w:lineRule="auto"/>
        <w:jc w:val="both"/>
      </w:pPr>
      <w:r>
        <w:rPr>
          <w:rFonts w:ascii="David" w:cs="David" w:eastAsia="David" w:hAnsi="David"/>
          <w:b w:val="false"/>
          <w:bCs w:val="false"/>
          <w:sz w:val="24"/>
          <w:szCs w:val="24"/>
          <w:rtl/>
        </w:rPr>
        <w:t xml:space="preserve">התקופה הכוללת, עד ליום 16.12.2026, מצויה בגדרי התקופה המרבית ומחייבת נימוקים מיוחדים, ואלה בנמצא: הסכנה לא הוסרה; המשיב לא נקט בהליך טיפולי; התנהלותו במפגשים המלווים מלמדת על זלזול במסגרות; ובבית קטינים שטובתם שיקול-על.</w:t>
      </w:r>
    </w:p>
    <w:p>
      <w:pPr>
        <w:pStyle w:val="ListParagraph"/>
        <w:numPr>
          <w:ilvl w:val="0"/>
          <w:numId w:val="2"/>
        </w:numPr>
        <w:bidi/>
        <w:spacing w:after="120" w:before="0" w:line="360" w:lineRule="auto"/>
        <w:jc w:val="both"/>
      </w:pPr>
      <w:r>
        <w:rPr>
          <w:rFonts w:ascii="David" w:cs="David" w:eastAsia="David" w:hAnsi="David"/>
          <w:b w:val="false"/>
          <w:bCs w:val="false"/>
          <w:sz w:val="24"/>
          <w:szCs w:val="24"/>
          <w:rtl/>
        </w:rPr>
        <w:t xml:space="preserve">תכליתו של הצו מניעתית, ועילותיו שבסעיף 3 לחוק נבחנות למועד ההכרעה. הנזק מפקיעת הצו בלתי הפיך, בעוד שהנזק למשיב מוגבל: הצו אינו שולל את קשרו עם הקטינים, המוסיף להתקיים במרכז הקשר, אלא מסדיר את גבולות ההתנהלות מול המבקשת.</w:t>
      </w:r>
    </w:p>
    <w:p>
      <w:pPr>
        <w:pStyle w:val="ListParagraph"/>
        <w:numPr>
          <w:ilvl w:val="0"/>
          <w:numId w:val="2"/>
        </w:numPr>
        <w:bidi/>
        <w:spacing w:after="60" w:before="0" w:line="360" w:lineRule="auto"/>
        <w:jc w:val="both"/>
      </w:pPr>
      <w:r>
        <w:rPr>
          <w:rFonts w:ascii="David" w:cs="David" w:eastAsia="David" w:hAnsi="David"/>
          <w:b w:val="false"/>
          <w:bCs w:val="false"/>
          <w:sz w:val="24"/>
          <w:szCs w:val="24"/>
          <w:rtl/>
        </w:rPr>
        <w:t xml:space="preserve">אשר על כל המקובץ לעיל, מתבקש בית המשפט הנכבד:</w:t>
      </w:r>
    </w:p>
    <w:p>
      <w:pPr>
        <w:bidi/>
        <w:spacing w:after="60" w:before="0" w:line="360" w:lineRule="auto"/>
        <w:ind w:left="850" w:hanging="340"/>
        <w:jc w:val="both"/>
      </w:pPr>
      <w:r>
        <w:rPr>
          <w:rFonts w:ascii="David" w:cs="David" w:eastAsia="David" w:hAnsi="David"/>
          <w:b w:val="false"/>
          <w:bCs w:val="false"/>
          <w:sz w:val="24"/>
          <w:szCs w:val="24"/>
          <w:rtl/>
        </w:rPr>
        <w:t xml:space="preserve">א.	להאריך את תוקפו של צו ההגנה מיום 11.3.2026 בשלושה חודשים נוספים, עד ליום 16.12.2026, על כל תנאיו.</w:t>
      </w:r>
    </w:p>
    <w:p>
      <w:pPr>
        <w:bidi/>
        <w:spacing w:after="60" w:before="0" w:line="360" w:lineRule="auto"/>
        <w:ind w:left="850" w:hanging="340"/>
        <w:jc w:val="both"/>
      </w:pPr>
      <w:r>
        <w:rPr>
          <w:rFonts w:ascii="David" w:cs="David" w:eastAsia="David" w:hAnsi="David"/>
          <w:b w:val="false"/>
          <w:bCs w:val="false"/>
          <w:sz w:val="24"/>
          <w:szCs w:val="24"/>
          <w:rtl/>
        </w:rPr>
        <w:t xml:space="preserve">ב.	לקבוע דיון דחוף בבקשה בטרם יפקע הצו ביום 16.9.2026.</w:t>
      </w:r>
    </w:p>
    <w:p>
      <w:pPr>
        <w:bidi/>
        <w:spacing w:after="60" w:before="0" w:line="360" w:lineRule="auto"/>
        <w:ind w:left="850" w:hanging="340"/>
        <w:jc w:val="both"/>
      </w:pPr>
      <w:r>
        <w:rPr>
          <w:rFonts w:ascii="David" w:cs="David" w:eastAsia="David" w:hAnsi="David"/>
          <w:b w:val="false"/>
          <w:bCs w:val="false"/>
          <w:sz w:val="24"/>
          <w:szCs w:val="24"/>
          <w:rtl/>
        </w:rPr>
        <w:t xml:space="preserve">ג.	להורות למשיב לקיים את המפגשים כסדרם ולהודיע על היעדרות 48 שעות מראש בצירוף נימוק, ולמרכז הקשר — לדווח על המפגשים שהתקיימו ושבוטלו.</w:t>
      </w:r>
    </w:p>
    <w:p>
      <w:pPr>
        <w:bidi/>
        <w:spacing w:after="60" w:before="0" w:line="360" w:lineRule="auto"/>
        <w:ind w:left="850" w:hanging="340"/>
        <w:jc w:val="both"/>
      </w:pPr>
      <w:r>
        <w:rPr>
          <w:rFonts w:ascii="David" w:cs="David" w:eastAsia="David" w:hAnsi="David"/>
          <w:b w:val="false"/>
          <w:bCs w:val="false"/>
          <w:sz w:val="24"/>
          <w:szCs w:val="24"/>
          <w:rtl/>
        </w:rPr>
        <w:t xml:space="preserve">ד.	לחייב את המשיב בהוצאות, וליתן כל סעד אחר שיימצא לנכון.</w:t>
      </w:r>
    </w:p>
    <w:p>
      <w:pPr>
        <w:bidi/>
        <w:spacing w:after="140" w:before="100" w:line="360" w:lineRule="auto"/>
        <w:jc w:val="both"/>
      </w:pPr>
      <w:r>
        <w:rPr>
          <w:rFonts w:ascii="David" w:cs="David" w:eastAsia="David" w:hAnsi="David"/>
          <w:b w:val="false"/>
          <w:bCs w:val="false"/>
          <w:sz w:val="24"/>
          <w:szCs w:val="24"/>
          <w:rtl/>
        </w:rPr>
        <w:t xml:space="preserve">הבקשה נתמכת בתצהיר המבקשת. מן הדין ומן הצדק להיעתר לה.</w:t>
      </w:r>
    </w:p>
    <w:p>
      <w:pPr>
        <w:bidi/>
        <w:spacing w:after="120" w:before="0" w:line="360" w:lineRule="auto"/>
        <w:jc w:val="start"/>
      </w:pPr>
      <w:r>
        <w:rPr>
          <w:rFonts w:ascii="David" w:cs="David" w:eastAsia="David" w:hAnsi="David"/>
          <w:b w:val="false"/>
          <w:bCs w:val="false"/>
          <w:sz w:val="24"/>
          <w:szCs w:val="24"/>
          <w:rtl/>
        </w:rPr>
        <w:t xml:space="preserve">תאריך: ______________</w:t>
      </w:r>
    </w:p>
    <w:p>
      <w:pPr>
        <w:bidi/>
        <w:spacing w:after="0" w:before="0" w:line="360" w:lineRule="auto"/>
        <w:jc w:val="center"/>
      </w:pPr>
      <w:r>
        <w:rPr>
          <w:rFonts w:ascii="David" w:cs="David" w:eastAsia="David" w:hAnsi="David"/>
          <w:b w:val="false"/>
          <w:bCs w:val="false"/>
          <w:sz w:val="24"/>
          <w:szCs w:val="24"/>
          <w:rtl/>
        </w:rPr>
        <w:t xml:space="preserve">_______________________</w:t>
      </w:r>
    </w:p>
    <w:p>
      <w:pPr>
        <w:bidi/>
        <w:spacing w:after="0" w:before="0" w:line="360" w:lineRule="auto"/>
        <w:jc w:val="center"/>
      </w:pPr>
      <w:r>
        <w:rPr>
          <w:rFonts w:ascii="David" w:cs="David" w:eastAsia="David" w:hAnsi="David"/>
          <w:b w:val="false"/>
          <w:bCs w:val="false"/>
          <w:sz w:val="24"/>
          <w:szCs w:val="24"/>
          <w:rtl/>
        </w:rPr>
        <w:t xml:space="preserve">______________, עו"ד</w:t>
      </w:r>
    </w:p>
    <w:p>
      <w:pPr>
        <w:bidi/>
        <w:spacing w:after="0" w:before="0" w:line="360" w:lineRule="auto"/>
        <w:jc w:val="center"/>
      </w:pPr>
      <w:r>
        <w:rPr>
          <w:rFonts w:ascii="David" w:cs="David" w:eastAsia="David" w:hAnsi="David"/>
          <w:b w:val="false"/>
          <w:bCs w:val="false"/>
          <w:sz w:val="24"/>
          <w:szCs w:val="24"/>
          <w:rtl/>
        </w:rPr>
        <w:t xml:space="preserve">ב"כ המבקשת</w:t>
      </w:r>
    </w:p>
    <w:sectPr>
      <w:footerReference w:type="default" r:id="rId7"/>
      <w:pgSz w:w="11906" w:h="16838" w:orient="portrait"/>
      <w:pgMar w:top="850" w:right="1417" w:bottom="646" w:left="1417" w:header="454" w:footer="34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b w:val="false"/>
        <w:bCs w:val="false"/>
        <w:sz w:val="18"/>
        <w:szCs w:val="18"/>
        <w:rtl/>
      </w:rPr>
      <w:t xml:space="preserve">- </w:t>
    </w:r>
    <w:r>
      <w:rPr>
        <w:rFonts w:ascii="David" w:cs="David" w:eastAsia="David" w:hAnsi="David"/>
        <w:sz w:val="18"/>
        <w:szCs w:val="18"/>
        <w:rtl/>
      </w:rPr>
      <w:fldChar w:fldCharType="begin"/>
      <w:instrText xml:space="preserve">PAGE</w:instrText>
      <w:fldChar w:fldCharType="separate"/>
      <w:fldChar w:fldCharType="end"/>
    </w:r>
    <w:r>
      <w:rPr>
        <w:rFonts w:ascii="David" w:cs="David" w:eastAsia="David" w:hAnsi="David"/>
        <w:b w:val="false"/>
        <w:bCs w:val="false"/>
        <w:sz w:val="18"/>
        <w:szCs w:val="18"/>
        <w:rt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start"/>
      <w:pPr>
        <w:ind w:left="47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בקשה לקביעת גיל</dc:title>
  <dc:creator>Legal DOCX</dc:creator>
  <cp:lastModifiedBy>Un-named</cp:lastModifiedBy>
  <cp:revision>1</cp:revision>
  <dcterms:created xsi:type="dcterms:W3CDTF">2026-08-18T11:41:14.764Z</dcterms:created>
  <dcterms:modified xsi:type="dcterms:W3CDTF">2026-08-18T11:41:14.764Z</dcterms:modified>
</cp:coreProperties>
</file>

<file path=docProps/custom.xml><?xml version="1.0" encoding="utf-8"?>
<Properties xmlns="http://schemas.openxmlformats.org/officeDocument/2006/custom-properties" xmlns:vt="http://schemas.openxmlformats.org/officeDocument/2006/docPropsVTypes"/>
</file>