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b/>
          <w:color w:val="000000"/>
          <w:spacing w:val="5"/>
          <w:position w:val="0"/>
          <w:sz w:val="46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5"/>
          <w:position w:val="0"/>
          <w:sz w:val="46"/>
          <w:shd w:fill="auto" w:val="clear"/>
        </w:rPr>
        <w:t xml:space="preserve">InkFormulation </w:t>
      </w:r>
      <w:r>
        <w:rPr>
          <w:rFonts w:ascii="宋体" w:hAnsi="宋体" w:cs="宋体" w:eastAsia="宋体"/>
          <w:b/>
          <w:color w:val="000000"/>
          <w:spacing w:val="5"/>
          <w:position w:val="0"/>
          <w:sz w:val="46"/>
          <w:shd w:fill="auto" w:val="clear"/>
        </w:rPr>
        <w:t xml:space="preserve">建库操作流程</w:t>
      </w:r>
    </w:p>
    <w:p>
      <w:pPr>
        <w:spacing w:before="0" w:after="20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595959"/>
          <w:spacing w:val="0"/>
          <w:position w:val="0"/>
          <w:sz w:val="24"/>
          <w:shd w:fill="auto" w:val="clear"/>
        </w:rPr>
        <w:t xml:space="preserve">以网版印刷【油墨厂名】Red 基础墨和 Leneta 基材为例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本流程针对当前运行的 InkFormulation Manufacturer 6.60，说明如何先建立基材，再建立油墨系列和浓度测色数据。示例条件为网版印刷、D50、2</w:t>
      </w: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°观察者，并以【油墨厂名】Red 与【油墨厂名】Transparent White 的浓度系列作为第一条验证数据。正式建库前请先备份 SQLite 数据库。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一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先固定本次建库条件</w:t>
      </w:r>
    </w:p>
    <w:p>
      <w:pPr>
        <w:spacing w:before="160" w:after="80" w:line="276"/>
        <w:ind w:right="0" w:left="0" w:firstLine="0"/>
        <w:jc w:val="left"/>
        <w:rPr>
          <w:rFonts w:ascii="Microsoft YaHei" w:hAnsi="Microsoft YaHei" w:cs="Microsoft YaHei" w:eastAsia="Microsoft YaHei"/>
          <w:sz w:val="20"/>
        </w:rPr>
      </w:pPr>
      <w:r>
        <w:rPr>
          <w:rFonts w:ascii="Microsoft YaHei" w:hAnsi="Microsoft YaHei" w:cs="Microsoft YaHei" w:eastAsia="Microsoft YaHei"/>
          <w:spacing w:val="0"/>
          <w:position w:val="0"/>
          <w:sz w:val="20"/>
          <w:shd w:fill="auto" w:val="clear"/>
        </w:rPr>
        <w:t xml:space="preserve">常用测色条件及主要用途如下。同一套基材、油墨系列和浓度数据必须使用同一种条件。</w:t>
      </w:r>
    </w:p>
    <w:tbl>
      <w:tblPr>
        <w:tblW w:w="10166" w:type="dxa"/>
        <w:tblLayout w:type="fixed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200"/>
        <w:gridCol w:w="7966"/>
      </w:tblGrid>
      <w:tr>
        <w:trPr>
          <w:trHeight w:val="360" w:hRule="atLeast"/>
        </w:trPr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2f5597" w:val="clear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Microsoft YaHei" w:hAnsi="Microsoft YaHei" w:cs="Microsoft YaHei" w:eastAsia="Microsoft YaHei"/>
                <w:b/>
                <w:color w:val="FFFFFF"/>
                <w:sz w:val="19"/>
              </w:rPr>
            </w:pPr>
            <w:r>
              <w:rPr>
                <w:rFonts w:ascii="Microsoft YaHei" w:hAnsi="Microsoft YaHei" w:cs="Microsoft YaHei" w:eastAsia="Microsoft YaHe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测量条件</w:t>
            </w:r>
          </w:p>
        </w:tc>
        <w:tc>
          <w:tcPr>
            <w:tcW w:w="796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2f5597" w:val="clear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Microsoft YaHei" w:hAnsi="Microsoft YaHei" w:cs="Microsoft YaHei" w:eastAsia="Microsoft YaHei"/>
                <w:b/>
                <w:color w:val="FFFFFF"/>
                <w:sz w:val="19"/>
              </w:rPr>
            </w:pPr>
            <w:r>
              <w:rPr>
                <w:rFonts w:ascii="Microsoft YaHei" w:hAnsi="Microsoft YaHei" w:cs="Microsoft YaHei" w:eastAsia="Microsoft YaHe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主要用途</w:t>
            </w:r>
          </w:p>
        </w:tc>
      </w:tr>
      <w:tr>
        <w:trPr>
          <w:trHeight w:val="360" w:hRule="atLeast"/>
        </w:trPr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Microsoft YaHei" w:hAnsi="Microsoft YaHei" w:cs="Microsoft YaHei" w:eastAsia="Microsoft YaHei"/>
                <w:b/>
                <w:sz w:val="19"/>
              </w:rPr>
            </w:pPr>
            <w:r>
              <w:rPr>
                <w:rFonts w:ascii="Microsoft YaHei" w:hAnsi="Microsoft YaHei" w:cs="Microsoft YaHei" w:eastAsia="Microsoft YaHei"/>
                <w:b/>
                <w:spacing w:val="0"/>
                <w:position w:val="0"/>
                <w:sz w:val="19"/>
                <w:shd w:fill="auto" w:val="clear"/>
              </w:rPr>
              <w:t xml:space="preserve">M0</w:t>
            </w:r>
          </w:p>
        </w:tc>
        <w:tc>
          <w:tcPr>
            <w:tcW w:w="796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Microsoft YaHei" w:hAnsi="Microsoft YaHei" w:cs="Microsoft YaHei" w:eastAsia="Microsoft YaHei"/>
                <w:sz w:val="19"/>
              </w:rPr>
            </w:pPr>
            <w:r>
              <w:rPr>
                <w:rFonts w:ascii="Microsoft YaHei" w:hAnsi="Microsoft YaHei" w:cs="Microsoft YaHei" w:eastAsia="Microsoft YaHei"/>
                <w:spacing w:val="0"/>
                <w:position w:val="0"/>
                <w:sz w:val="19"/>
                <w:shd w:fill="auto" w:val="clear"/>
              </w:rPr>
              <w:t xml:space="preserve">传统测色条件，适合与既有 M0 数据保持一致</w:t>
            </w:r>
          </w:p>
        </w:tc>
      </w:tr>
      <w:tr>
        <w:trPr>
          <w:trHeight w:val="360" w:hRule="atLeast"/>
        </w:trPr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3f6fb" w:val="clear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Microsoft YaHei" w:hAnsi="Microsoft YaHei" w:cs="Microsoft YaHei" w:eastAsia="Microsoft YaHei"/>
                <w:b/>
                <w:sz w:val="19"/>
              </w:rPr>
            </w:pPr>
            <w:r>
              <w:rPr>
                <w:rFonts w:ascii="Microsoft YaHei" w:hAnsi="Microsoft YaHei" w:cs="Microsoft YaHei" w:eastAsia="Microsoft YaHei"/>
                <w:b/>
                <w:spacing w:val="0"/>
                <w:position w:val="0"/>
                <w:sz w:val="19"/>
                <w:shd w:fill="auto" w:val="clear"/>
              </w:rPr>
              <w:t xml:space="preserve">M1</w:t>
            </w:r>
          </w:p>
        </w:tc>
        <w:tc>
          <w:tcPr>
            <w:tcW w:w="796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3f6fb" w:val="clear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Microsoft YaHei" w:hAnsi="Microsoft YaHei" w:cs="Microsoft YaHei" w:eastAsia="Microsoft YaHei"/>
                <w:sz w:val="19"/>
              </w:rPr>
            </w:pPr>
            <w:r>
              <w:rPr>
                <w:rFonts w:ascii="Microsoft YaHei" w:hAnsi="Microsoft YaHei" w:cs="Microsoft YaHei" w:eastAsia="Microsoft YaHei"/>
                <w:spacing w:val="0"/>
                <w:position w:val="0"/>
                <w:sz w:val="19"/>
                <w:shd w:fill="auto" w:val="clear"/>
              </w:rPr>
              <w:t xml:space="preserve">对紫外成分进行规范，适合含荧光增白剂纸张的标准化打样</w:t>
            </w:r>
          </w:p>
        </w:tc>
      </w:tr>
      <w:tr>
        <w:trPr>
          <w:trHeight w:val="360" w:hRule="atLeast"/>
        </w:trPr>
        <w:tc>
          <w:tcPr>
            <w:tcW w:w="22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center"/>
              <w:rPr>
                <w:rFonts w:ascii="Microsoft YaHei" w:hAnsi="Microsoft YaHei" w:cs="Microsoft YaHei" w:eastAsia="Microsoft YaHei"/>
                <w:b/>
                <w:sz w:val="19"/>
              </w:rPr>
            </w:pPr>
            <w:r>
              <w:rPr>
                <w:rFonts w:ascii="Microsoft YaHei" w:hAnsi="Microsoft YaHei" w:cs="Microsoft YaHei" w:eastAsia="Microsoft YaHei"/>
                <w:b/>
                <w:spacing w:val="0"/>
                <w:position w:val="0"/>
                <w:sz w:val="19"/>
                <w:shd w:fill="auto" w:val="clear"/>
              </w:rPr>
              <w:t xml:space="preserve">M2</w:t>
            </w:r>
          </w:p>
        </w:tc>
        <w:tc>
          <w:tcPr>
            <w:tcW w:w="7966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>
            <w:pPr>
              <w:spacing w:before="0" w:after="0" w:line="276"/>
              <w:ind w:right="0" w:left="0" w:firstLine="0"/>
              <w:jc w:val="left"/>
              <w:rPr>
                <w:rFonts w:ascii="Microsoft YaHei" w:hAnsi="Microsoft YaHei" w:cs="Microsoft YaHei" w:eastAsia="Microsoft YaHei"/>
                <w:sz w:val="19"/>
              </w:rPr>
            </w:pPr>
            <w:r>
              <w:rPr>
                <w:rFonts w:ascii="Microsoft YaHei" w:hAnsi="Microsoft YaHei" w:cs="Microsoft YaHei" w:eastAsia="Microsoft YaHei"/>
                <w:spacing w:val="0"/>
                <w:position w:val="0"/>
                <w:sz w:val="19"/>
                <w:shd w:fill="auto" w:val="clear"/>
              </w:rPr>
              <w:t xml:space="preserve">UV-cut，抑制紫外激发荧光的影响</w:t>
            </w:r>
          </w:p>
        </w:tc>
      </w:tr>
    </w:tbl>
    <w:p>
      <w:pPr>
        <w:spacing w:before="200" w:after="80" w:line="276"/>
        <w:ind w:right="0" w:left="0" w:firstLine="0"/>
        <w:jc w:val="left"/>
        <w:rPr>
          <w:rFonts w:ascii="Microsoft YaHei" w:hAnsi="Microsoft YaHei" w:cs="Microsoft YaHei" w:eastAsia="Microsoft YaHei"/>
          <w:sz w:val="20"/>
        </w:rPr>
      </w:pPr>
      <w:r>
        <w:rPr>
          <w:rFonts w:ascii="Microsoft YaHei" w:hAnsi="Microsoft YaHei" w:cs="Microsoft YaHei" w:eastAsia="Microsoft YaHei"/>
          <w:spacing w:val="0"/>
          <w:position w:val="0"/>
          <w:sz w:val="20"/>
          <w:shd w:fill="auto" w:val="clear"/>
        </w:rPr>
        <w:t xml:space="preserve">本例建议先固定下列参数：</w:t>
      </w:r>
    </w:p>
    <w:tbl>
      <w:tblPr/>
      <w:tblGrid>
        <w:gridCol w:w="5083"/>
        <w:gridCol w:w="5083"/>
      </w:tblGrid>
      <w:tr>
        <w:trPr>
          <w:trHeight w:val="1" w:hRule="atLeast"/>
          <w:jc w:val="center"/>
        </w:trPr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2f559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项目</w:t>
            </w:r>
          </w:p>
        </w:tc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2f5597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本例建议值</w:t>
            </w:r>
          </w:p>
        </w:tc>
      </w:tr>
      <w:tr>
        <w:trPr>
          <w:trHeight w:val="1" w:hRule="atLeast"/>
          <w:jc w:val="center"/>
        </w:trPr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应用</w:t>
            </w:r>
          </w:p>
        </w:tc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color w:val="auto"/>
                <w:spacing w:val="0"/>
                <w:position w:val="0"/>
                <w:sz w:val="19"/>
                <w:shd w:fill="auto" w:val="clear"/>
              </w:rPr>
              <w:t xml:space="preserve">Screen printing 胶印印刷</w:t>
            </w:r>
          </w:p>
        </w:tc>
      </w:tr>
      <w:tr>
        <w:trPr>
          <w:trHeight w:val="1" w:hRule="atLeast"/>
          <w:jc w:val="center"/>
        </w:trPr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基材</w:t>
            </w:r>
          </w:p>
        </w:tc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color w:val="auto"/>
                <w:spacing w:val="0"/>
                <w:position w:val="0"/>
                <w:sz w:val="19"/>
                <w:shd w:fill="auto" w:val="clear"/>
              </w:rPr>
              <w:t xml:space="preserve">Leneta 白色标准卡，或一种实际生产基材</w:t>
            </w:r>
          </w:p>
        </w:tc>
      </w:tr>
      <w:tr>
        <w:trPr>
          <w:trHeight w:val="1" w:hRule="atLeast"/>
          <w:jc w:val="center"/>
        </w:trPr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光源与观察者</w:t>
            </w:r>
          </w:p>
        </w:tc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color w:val="auto"/>
                <w:spacing w:val="0"/>
                <w:position w:val="0"/>
                <w:sz w:val="19"/>
                <w:shd w:fill="auto" w:val="clear"/>
              </w:rPr>
              <w:t xml:space="preserve">D50 / 2</w:t>
            </w:r>
            <w:r>
              <w:rPr>
                <w:rFonts w:ascii="Microsoft YaHei" w:hAnsi="Microsoft YaHei" w:cs="Microsoft YaHei" w:eastAsia="Microsoft YaHei"/>
                <w:color w:val="auto"/>
                <w:spacing w:val="0"/>
                <w:position w:val="0"/>
                <w:sz w:val="19"/>
                <w:shd w:fill="auto" w:val="clear"/>
              </w:rPr>
              <w:t xml:space="preserve">°</w:t>
            </w:r>
          </w:p>
        </w:tc>
      </w:tr>
      <w:tr>
        <w:trPr>
          <w:trHeight w:val="1" w:hRule="atLeast"/>
          <w:jc w:val="center"/>
        </w:trPr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测量模式</w:t>
            </w:r>
          </w:p>
        </w:tc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color w:val="auto"/>
                <w:spacing w:val="0"/>
                <w:position w:val="0"/>
                <w:sz w:val="19"/>
                <w:shd w:fill="auto" w:val="clear"/>
              </w:rPr>
              <w:t xml:space="preserve">M0、M1 或 M2，必须全程保持一致；当前页面截图分别出现 M0 和 M1，需先统一</w:t>
            </w:r>
          </w:p>
        </w:tc>
      </w:tr>
      <w:tr>
        <w:trPr>
          <w:trHeight w:val="1" w:hRule="atLeast"/>
          <w:jc w:val="center"/>
        </w:trPr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颜色命名</w:t>
            </w:r>
          </w:p>
        </w:tc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color w:val="auto"/>
                <w:spacing w:val="0"/>
                <w:position w:val="0"/>
                <w:sz w:val="19"/>
                <w:shd w:fill="auto" w:val="clear"/>
              </w:rPr>
              <w:t xml:space="preserve">【油墨厂名】颜色名，例如【油墨厂名】Red；不同油墨厂必须分开建库</w:t>
            </w:r>
          </w:p>
        </w:tc>
      </w:tr>
      <w:tr>
        <w:trPr>
          <w:trHeight w:val="1" w:hRule="atLeast"/>
          <w:jc w:val="center"/>
        </w:trPr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基础墨</w:t>
            </w:r>
          </w:p>
        </w:tc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color w:val="auto"/>
                <w:spacing w:val="0"/>
                <w:position w:val="0"/>
                <w:sz w:val="19"/>
                <w:shd w:fill="auto" w:val="clear"/>
              </w:rPr>
              <w:t xml:space="preserve">【油墨厂名】Red 032 2F514（示例）</w:t>
            </w:r>
          </w:p>
        </w:tc>
      </w:tr>
      <w:tr>
        <w:trPr>
          <w:trHeight w:val="1" w:hRule="atLeast"/>
          <w:jc w:val="center"/>
        </w:trPr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透明基料</w:t>
            </w:r>
          </w:p>
        </w:tc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color w:val="auto"/>
                <w:spacing w:val="0"/>
                <w:position w:val="0"/>
                <w:sz w:val="19"/>
                <w:shd w:fill="auto" w:val="clear"/>
              </w:rPr>
              <w:t xml:space="preserve">【油墨厂名】Transparent White 或同厂 Varnish，必须固定同一油墨厂、同一材料</w:t>
            </w:r>
          </w:p>
        </w:tc>
      </w:tr>
      <w:tr>
        <w:trPr>
          <w:trHeight w:val="1" w:hRule="atLeast"/>
          <w:jc w:val="center"/>
        </w:trPr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b/>
                <w:color w:val="auto"/>
                <w:spacing w:val="0"/>
                <w:position w:val="0"/>
                <w:sz w:val="19"/>
                <w:shd w:fill="auto" w:val="clear"/>
              </w:rPr>
              <w:t xml:space="preserve">浓度点</w:t>
            </w:r>
          </w:p>
        </w:tc>
        <w:tc>
          <w:tcPr>
            <w:tcW w:w="5083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40" w:line="276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Microsoft YaHei" w:hAnsi="Microsoft YaHei" w:cs="Microsoft YaHei" w:eastAsia="Microsoft YaHei"/>
                <w:color w:val="auto"/>
                <w:spacing w:val="0"/>
                <w:position w:val="0"/>
                <w:sz w:val="19"/>
                <w:shd w:fill="auto" w:val="clear"/>
              </w:rPr>
              <w:t xml:space="preserve">5%、10%、20%、40%、80%、100%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测量条件一旦改变，原有光谱数据就不应直接混用。尤其要避免一部分样品使用 M0，另一部分使用 M1 或 M2。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二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进入数据库基材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从主菜单进入“数据库 → 基材”。列表中的 Leneta、PWA、Transparent Film 等是已经存在的基材对象。先确认是否已有符合本次应用和测量条件的基材；没有时点击“新增”。</w:t>
      </w:r>
    </w:p>
    <w:p>
      <w:pPr>
        <w:spacing w:before="0" w:after="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object w:dxaOrig="8501" w:dyaOrig="6693">
          <v:rect xmlns:o="urn:schemas-microsoft-com:office:office" xmlns:v="urn:schemas-microsoft-com:vml" id="rectole0000000000" style="width:425.050000pt;height:334.6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40" w:after="1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i/>
          <w:color w:val="595959"/>
          <w:spacing w:val="0"/>
          <w:position w:val="0"/>
          <w:sz w:val="18"/>
          <w:shd w:fill="auto" w:val="clear"/>
        </w:rPr>
        <w:t xml:space="preserve">图 1 数据库基材列表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如果使用现有基材，先用“修改”或“信息”检查它的测量模式、材料类型和光谱数据。只有名称相同而条件不同的基材，不能直接当作同一对象使用。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三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填写基材条目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在“基材条目”窗口中填写名称、ERP 编号和材料属性。名称应包含材料、规格和测量条件，便于以后选择。ERP 编号没有时可以留空，但建议建立内部唯一编号。</w:t>
      </w:r>
    </w:p>
    <w:p>
      <w:pPr>
        <w:spacing w:before="0" w:after="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object w:dxaOrig="8501" w:dyaOrig="7277">
          <v:rect xmlns:o="urn:schemas-microsoft-com:office:office" xmlns:v="urn:schemas-microsoft-com:vml" id="rectole0000000001" style="width:425.050000pt;height:363.8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40" w:after="1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i/>
          <w:color w:val="595959"/>
          <w:spacing w:val="0"/>
          <w:position w:val="0"/>
          <w:sz w:val="18"/>
          <w:shd w:fill="auto" w:val="clear"/>
        </w:rPr>
        <w:t xml:space="preserve">图 2 基材条目窗口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本例可填写为：名称“Leneta 白卡 M1 D50”，ERP 编号“SUB-LENETA-W-M1-001”。普通白卡选择“白”，基材类型和材质按实际材料填写。透明 PET 或 BOPP 不应按普通纸张建立。粗糙度和附加数据要保持同一套填写规则。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“滤镜”字段显示 M1 (D50/D65) 时，表示当前基材按 M1 测量条件管理。如果计划沿用主窗口的 M0 应用，应改用 M0 并重新确认所有关联数据。选用 M2 时，滤镜应为 UV-cut，并单独建库，不能与 M0、M1 数据混用。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四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测量并保存基材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连接分光仪后，先在仪器设置中确认设备、D50、2</w:t>
      </w: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°观察者和已选定的 M0、M1 或 M2 模式，再对白板校准。回到基材条目，选择白色基材，点击“测量”。在基材的不同位置至少测量 3 次，避开边缘、划痕和灰尘，保存平均光谱。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如果“测量”按钮是灰色，通常表示分光仪没有连接、测量服务未启动或当前用户没有测量权限。先解决设备识别，再保存基材。没有真实光谱的基材只能作为名称记录，不能支持可靠的配方计算。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五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进入数据库油墨系列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基材保存后，进入“数据库 → 油墨系列- 新增 ”。油墨系列把应用、测量条件、基材、透明基料和一组基础墨绑定在一起。它不是一个单独颜色名称，而是一套可用于计算的生产条件。</w:t>
      </w:r>
    </w:p>
    <w:p>
      <w:pPr>
        <w:spacing w:before="0" w:after="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object w:dxaOrig="8501" w:dyaOrig="7577">
          <v:rect xmlns:o="urn:schemas-microsoft-com:office:office" xmlns:v="urn:schemas-microsoft-com:vml" id="rectole0000000002" style="width:425.050000pt;height:378.8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40" w:after="1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i/>
          <w:color w:val="595959"/>
          <w:spacing w:val="0"/>
          <w:position w:val="0"/>
          <w:sz w:val="18"/>
          <w:shd w:fill="auto" w:val="clear"/>
        </w:rPr>
        <w:t xml:space="preserve">图 3 数据库油墨系列列表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当前列表中已有 Screen printing (M0, Leneta)、Offset printing NV Pantone 和 Flexo/gravure 等系列。对于本次【油墨厂名】Red 建库，建议新增一个清楚的系列名称，例如“Screen printing 【油墨厂名】Red M1 D50 Leneta”。如果要沿用现有 M0 系列，就不要在新样品中混入 M1 或 M2 数据。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六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查看油墨系列中的基础墨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双击或选中一个油墨系列后点击“修改”，可以看到该系列中的基础墨列表。截图中的 Transparent White、Yellow、Orange、Red、Violet、Blue、Green、Black 等是可供配方计算调用的色料对象。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sz w:val="20"/>
        </w:rPr>
      </w:pPr>
      <w:r>
        <w:rPr>
          <w:rFonts w:ascii="Microsoft YaHei" w:hAnsi="Microsoft YaHei" w:cs="Microsoft YaHei" w:eastAsia="Microsoft YaHei"/>
          <w:spacing w:val="0"/>
          <w:position w:val="0"/>
          <w:sz w:val="20"/>
          <w:shd w:fill="auto" w:val="clear"/>
        </w:rPr>
        <w:t xml:space="preserve">正式入库的颜色名称必须带油墨厂名标记，格式为“【油墨厂名】颜色名”。“油墨厂名”换成实际厂名，例如“【某油墨厂】Red”。截图中的 Red、Yellow 等没有厂名，不能直接当作正式名称。不同油墨厂的同名颜色分别建库。</w:t>
      </w:r>
    </w:p>
    <w:p>
      <w:pPr>
        <w:spacing w:before="0" w:after="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object w:dxaOrig="8501" w:dyaOrig="6589">
          <v:rect xmlns:o="urn:schemas-microsoft-com:office:office" xmlns:v="urn:schemas-microsoft-com:vml" id="rectole0000000003" style="width:425.050000pt;height:329.4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40" w:after="1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i/>
          <w:color w:val="595959"/>
          <w:spacing w:val="0"/>
          <w:position w:val="0"/>
          <w:sz w:val="18"/>
          <w:shd w:fill="auto" w:val="clear"/>
        </w:rPr>
        <w:t xml:space="preserve">图 4 油墨系列中的基础墨列表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对【油墨厂名】Red 单色建库时，先加入【油墨厂名】Red 和同厂的【油墨厂名】Transparent White。完成数据验证后，再扩展到【油墨厂名】Yellow、【油墨厂名】Blue、【油墨厂名】Black 等颜色。基础墨是否关联基材，取决于这条系列的生产应用；正式生产建议关联，因为基材、遮盖力和墨层条件会影响光谱响应。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七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建立每一种色彩的（如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【油墨厂名】Red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）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浓度系列或先建立100%，后面可以增加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选择【油墨厂名】Red 后进入“测量色”窗口。截图中的比例表表示原墨与透明白的质量比例，不是墨层厚度。新建颜色按“【油墨厂名】Red”“【油墨厂名】Transparent White”填写。推荐第一版使用 5%、10%、20%、40%、80%、100% 六个浓度点。</w:t>
      </w:r>
    </w:p>
    <w:p>
      <w:pPr>
        <w:spacing w:before="0" w:after="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object w:dxaOrig="8501" w:dyaOrig="6778">
          <v:rect xmlns:o="urn:schemas-microsoft-com:office:office" xmlns:v="urn:schemas-microsoft-com:vml" id="rectole0000000004" style="width:425.050000pt;height:338.9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40" w:after="1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i/>
          <w:color w:val="595959"/>
          <w:spacing w:val="0"/>
          <w:position w:val="0"/>
          <w:sz w:val="18"/>
          <w:shd w:fill="auto" w:val="clear"/>
        </w:rPr>
        <w:t xml:space="preserve">图 5 【油墨厂名】Red 浓度系列和测量点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以配制 100 g 为例：5% 样品称取【油墨厂名】Red 5 g 加【油墨厂名】Transparent White 95 g；10% 为 10 g 加 90 g；20% 为 20 g 加 80 g；40% 为 40 g 加 60 g；80% 为 80 g 加 20 g；100% 为 100 g 【油墨厂名】Red。每个样品都要充分混合，并用同一展色方式在同一基材上制样。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建议每个浓度制作 3 个独立样品，每个样品测 3 个位置。测量结果应保存完整光谱、Lab、仪器、模式、光源、观察者、基材批次和原料批次。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八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完成测量并检查数据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选中一个浓度点后点击“测量”，按仪器提示完成测量。完成后可用“显示”检查颜色数据。截图中的 Black 750 在 20% 行显示了 L*、a*、b* 和 [D50, 2</w:t>
      </w: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°]，说明该行已经有测量结果；【油墨厂名】Red 页面中没有显示数值的行，需要确认是否尚未测量或未选中显示。</w:t>
      </w:r>
    </w:p>
    <w:p>
      <w:pPr>
        <w:spacing w:before="0" w:after="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object w:dxaOrig="8501" w:dyaOrig="6778">
          <v:rect xmlns:o="urn:schemas-microsoft-com:office:office" xmlns:v="urn:schemas-microsoft-com:vml" id="rectole0000000005" style="width:425.050000pt;height:338.9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40" w:after="160" w:line="276"/>
        <w:ind w:right="0" w:left="0" w:firstLine="0"/>
        <w:jc w:val="center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i/>
          <w:color w:val="595959"/>
          <w:spacing w:val="0"/>
          <w:position w:val="0"/>
          <w:sz w:val="18"/>
          <w:shd w:fill="auto" w:val="clear"/>
        </w:rPr>
        <w:t xml:space="preserve">图 6 已有测量结果的颜色数据示例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“单位面积积重”用于记录单位面积上的着墨量，通常与 g/m</w:t>
      </w: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² 相关，具体单位以软件设置为准。它不能被当作浓度百分比。若使用相同展色方法，应记录实际积重；如果使用不同设备或不同膜厚，应建立不同应用或不同墨层对象。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九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用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【油墨厂名】Red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数据做第一次验证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完成六个浓度点后，把它们保存到【油墨厂名】Red 基础墨对象，并确认它们属于同一个油墨系列、同一基材和同一测量条件。然后在“配方计算”中输入一个实测【油墨厂名】Red 目标色，选择本系列和【油墨厂名】Transparent White，让软件计算【油墨厂名】Red 与【油墨厂名】Transparent White 的比例。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按计算比例重新称量、展色和测量。将理论 Lab 与实测 Lab、</w:t>
      </w: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ΔE</w:t>
      </w: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、称量误差和重复样差异记录下来。只有当重复性和生产结果达到你们内部标准后，才把该【油墨厂名】Red 数据标记为正式生产数据。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十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建库完成前检查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□ 基材名称是否包含规格和测量条件？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□ 基材是否已经完成真实光谱测量？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□ 所有数据是否统一使用 D50、2</w:t>
      </w: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° 和同一 M0、M1 或 M2 模式？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□ 【油墨厂名】Red 与【油墨厂名】Transparent White 是否属于同一油墨厂、同一体系？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□ 每个基础墨名称是否都带有油墨厂名标记？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□ 5%、10%、20%、40%、80%、100% 是否全部完成测量？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□ 每个浓度是否有批次、仪器、日期和基材记录？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□ 是否完成重新称量、打样和实测验证？</w:t>
      </w:r>
    </w:p>
    <w:p>
      <w:pPr>
        <w:numPr>
          <w:ilvl w:val="0"/>
          <w:numId w:val="59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□ 数据库是否已经备份？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十一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32"/>
          <w:shd w:fill="auto" w:val="clear"/>
        </w:rPr>
        <w:t xml:space="preserve"> </w:t>
      </w:r>
      <w:r>
        <w:rPr>
          <w:rFonts w:ascii="宋体" w:hAnsi="宋体" w:cs="宋体" w:eastAsia="宋体"/>
          <w:b/>
          <w:color w:val="000000"/>
          <w:spacing w:val="0"/>
          <w:position w:val="0"/>
          <w:sz w:val="32"/>
          <w:shd w:fill="auto" w:val="clear"/>
        </w:rPr>
        <w:t xml:space="preserve">推荐的实际操作顺序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备份 IFStdDb → 确定 M0、M1 或 M2 → 建立并测量 Leneta 基材 → 新建（如【油墨厂名】Red）油墨系列 → 加入【油墨厂名】Red 和【油墨厂名】Transparent White → 配制一个（或六个浓度）点 → 统一展色和干燥 → 逐点测量 → 检查光谱和 Lab → 用配方计算复核 → 实际打样验证 → 保存正式版本。</w:t>
      </w:r>
    </w:p>
    <w:p>
      <w:pPr>
        <w:spacing w:before="0" w:after="200" w:line="276"/>
        <w:ind w:right="0" w:left="0" w:firstLine="0"/>
        <w:jc w:val="left"/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</w:pPr>
      <w:r>
        <w:rPr>
          <w:rFonts w:ascii="Microsoft YaHei" w:hAnsi="Microsoft YaHei" w:cs="Microsoft YaHei" w:eastAsia="Microsoft YaHei"/>
          <w:color w:val="auto"/>
          <w:spacing w:val="0"/>
          <w:position w:val="0"/>
          <w:sz w:val="20"/>
          <w:shd w:fill="auto" w:val="clear"/>
        </w:rPr>
        <w:t xml:space="preserve">建库的关键是让每条数据都能回答三个问题：它在什么基材上测的，使用什么光学条件测的，能否在同样生产条件下重复得到。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5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styles.xml" Id="docRId13" Type="http://schemas.openxmlformats.org/officeDocument/2006/relationships/styles" /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5.bin" Id="docRId1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numbering.xml" Id="docRId12" Type="http://schemas.openxmlformats.org/officeDocument/2006/relationships/numbering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/Relationships>
</file>