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Pr="00550B6A" w:rsidR="00463C44" w:rsidRDefault="006115FA">
      <w:pPr>
        <w:widowControl w:val="0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550B6A">
        <w:rPr>
          <w:sz w:val="24"/>
          <w:szCs w:val="24"/>
          <w:lang w:val="en-US"/>
        </w:rPr>
        <w:t>CMP-CUM-INF-2019-0233-MAGOCA</w:t>
      </w:r>
      <w:proofErr w:type="spellEnd"/>
      <w:proofErr w:type="gramEnd"/>
    </w:p>
    <w:p w:rsidRPr="00550B6A" w:rsidR="00463C44" w:rsidRDefault="00463C44">
      <w:pPr>
        <w:widowControl w:val="0"/>
        <w:jc w:val="center"/>
        <w:rPr>
          <w:sz w:val="24"/>
          <w:szCs w:val="24"/>
          <w:lang w:val="en-US"/>
        </w:rPr>
      </w:pPr>
    </w:p>
    <w:p w:rsidRPr="00550B6A" w:rsidR="00463C44" w:rsidRDefault="007E3691">
      <w:pPr>
        <w:widowControl w:val="0"/>
        <w:rPr>
          <w:sz w:val="10"/>
          <w:szCs w:val="10"/>
          <w:lang w:val="en-US"/>
        </w:rPr>
      </w:pPr>
      <w:r w:rsidRPr="00550B6A">
        <w:rPr>
          <w:sz w:val="10"/>
          <w:szCs w:val="10"/>
          <w:lang w:val="en-US"/>
        </w:rPr>
        <w:t xml:space="preserve"> </w:t>
      </w:r>
    </w:p>
    <w:p w:rsidRPr="00550B6A" w:rsidR="00463C44" w:rsidRDefault="007E3691">
      <w:pPr>
        <w:widowControl w:val="0"/>
        <w:rPr>
          <w:sz w:val="24"/>
          <w:szCs w:val="24"/>
          <w:lang w:val="en-US"/>
        </w:rPr>
      </w:pPr>
      <w:r w:rsidRPr="00550B6A">
        <w:rPr>
          <w:sz w:val="24"/>
          <w:szCs w:val="24"/>
          <w:lang w:val="en-US"/>
        </w:rPr>
        <w:t xml:space="preserve">A                 </w:t>
      </w:r>
      <w:r w:rsidRPr="00550B6A">
        <w:rPr>
          <w:sz w:val="24"/>
          <w:szCs w:val="24"/>
          <w:lang w:val="en-US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 w:rsidRPr="00550B6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Ing. Armando Manuel Gonzales Cajes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Asistente de Cumplimiento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>: Evaluación de riesgo de Lavado de Activos y Financiamiento de</w:t>
      </w:r>
      <w:r w:rsidR="002300B6">
        <w:rPr>
          <w:sz w:val="24"/>
          <w:szCs w:val="24"/>
        </w:rPr>
        <w:t xml:space="preserve">l Terrorismos de los productos  </w:t>
      </w:r>
      <w:proofErr w:type="spellStart"/>
      <w:r w:rsidR="002300B6">
        <w:rPr>
          <w:sz w:val="24"/>
          <w:szCs w:val="24"/>
        </w:rPr>
        <w:t>dwwwwwww</w:t>
      </w:r>
      <w:proofErr w:type="spellEnd"/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</w:t>
      </w:r>
      <w:r w:rsidR="006115FA">
        <w:rPr>
          <w:sz w:val="24"/>
          <w:szCs w:val="24"/>
        </w:rPr>
        <w:t>Piura, 20 de Diciembre de 2019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El presente es para saludarlos cordialmente y a la vez comunicarle los resultados de la evaluación de riesgo de Lavado de Activos y Financiamiento del Terrorismos de l</w:t>
      </w:r>
      <w:r w:rsidR="00550B6A">
        <w:rPr>
          <w:sz w:val="24"/>
          <w:szCs w:val="24"/>
        </w:rPr>
        <w:t xml:space="preserve">os productos  </w:t>
      </w:r>
      <w:proofErr w:type="spellStart"/>
      <w:r w:rsidR="00550B6A">
        <w:rPr>
          <w:sz w:val="24"/>
          <w:szCs w:val="24"/>
        </w:rPr>
        <w:t>dwwwwwww</w:t>
      </w:r>
      <w:proofErr w:type="spell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</w:t>
      </w:r>
      <w:proofErr w:type="spellStart"/>
      <w:r w:rsidR="00550B6A">
        <w:rPr>
          <w:sz w:val="24"/>
          <w:szCs w:val="24"/>
        </w:rPr>
        <w:t>dwwwwwww</w:t>
      </w:r>
      <w:proofErr w:type="spellEnd"/>
      <w:r w:rsidR="00550B6A">
        <w:rPr>
          <w:sz w:val="24"/>
          <w:szCs w:val="24"/>
        </w:rPr>
        <w:t xml:space="preserve"> </w:t>
      </w:r>
      <w:bookmarkStart w:name="_GoBack" w:id="0"/>
      <w:bookmarkEnd w:id="0"/>
      <w:r>
        <w:rPr>
          <w:sz w:val="24"/>
          <w:szCs w:val="24"/>
        </w:rPr>
        <w:t xml:space="preserve">considerándolo de Riesgo Residual {riesgo}, a la Piura, 20 de Diciembre de 2019.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034545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  <w:p>
      <w:pPr>
        <w:jc w:val="center"/>
      </w:pPr>
      <w:r>
        <w:rPr>
          <w:b/>
        </w:rPr>
        <w:t>Anexo 01</w:t>
      </w:r>
    </w:p>
    <w:p>
      <w:pPr>
        <w:jc w:val="center"/>
      </w:pPr>
      <w:r>
        <w:rPr/>
        <w:t>IDENTIFICACIÓN DE LOS RIESGOS DE LAFT Y RIESGOS ASOCIADOS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Para identificar los riesgos de LAFT y riesgos asociados, de acuerdo con la clasificación y caracterización Tarjetas Foráneas-Análisis de Riesgos  LAFT - Tarjetas Foráneas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 del Riesgo de LAFT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Probabilidad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Impacto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Inherente</w:t>
            </w:r>
          </w:p>
          <w:tcPr>
            <w:tcW w:w="2000" w:type="dxa"/>
            <w:shd w:val="clear" w:color="auto" w:fill="ABCDEF"/>
          </w:tcPr>
        </w:tc>
        <w:tc>
          <w:p>
            <w:r>
              <w:t>Descripción  del Control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Residual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02</w:t>
      </w:r>
    </w:p>
    <w:p>
      <w:pPr>
        <w:jc w:val="center"/>
      </w:pPr>
      <w:r>
        <w:rPr/>
        <w:t>EVALUACIÓN DE RIESGOS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A continuación, se muestran los riesgos de LAFT identificados medidos a través de la probabilidad e impacto descritos anteriormente, así como también el nivel de riesgo determinado y los controles con los que cuenta la CMAC PIURA S.A.C. que ayudan a mitigar el riesgo de LAFT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 del Riesgo de LAFT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Probabilidad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Impacto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Inherente</w:t>
            </w:r>
          </w:p>
          <w:tcPr>
            <w:tcW w:w="2000" w:type="dxa"/>
            <w:shd w:val="clear" w:color="auto" w:fill="ABCDEF"/>
          </w:tcPr>
        </w:tc>
        <w:tc>
          <w:p>
            <w:r>
              <w:t>Descripción  del Control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Residual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03</w:t>
      </w:r>
    </w:p>
    <w:p>
      <w:pPr>
        <w:jc w:val="center"/>
      </w:pPr>
      <w:r>
        <w:rPr/>
        <w:t>CONTROLES IDENTIFICADOS Y CARACTERÍSTICAS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del Control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Cargo del Responsable</w:t>
            </w:r>
          </w:p>
          <w:tcPr>
            <w:tcW w:w="2000" w:type="dxa"/>
            <w:shd w:val="clear" w:color="auto" w:fill="ABCDEF"/>
          </w:tcPr>
        </w:tc>
        <w:tc>
          <w:p>
            <w:r>
              <w:t>Periodicidad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Oportunidad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Grado de automatización</w:t>
            </w:r>
          </w:p>
          <w:tcPr>
            <w:tcW w:w="2000" w:type="dxa"/>
            <w:shd w:val="clear" w:color="auto" w:fill="ABCDEF"/>
          </w:tcPr>
        </w:tc>
        <w:tc>
          <w:p>
            <w:r>
              <w:t>Formalización</w:t>
            </w:r>
          </w:p>
          <w:tcPr>
            <w:tcW w:w="2000" w:type="dxa"/>
            <w:shd w:val="clear" w:color="auto" w:fill="ABCDEF"/>
          </w:tcPr>
        </w:tc>
        <w:tc>
          <w:p>
            <w:r>
              <w:t>Calificación  del Control</w:t>
            </w:r>
          </w:p>
          <w:tcPr>
            <w:tcW w:w="2000" w:type="dxa"/>
            <w:shd w:val="clear" w:color="auto" w:fill="ABCDEF"/>
          </w:tcPr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06" w:rsidRDefault="00452606">
      <w:pPr>
        <w:spacing w:line="240" w:lineRule="auto"/>
      </w:pPr>
      <w:r>
        <w:separator/>
      </w:r>
    </w:p>
  </w:endnote>
  <w:endnote w:type="continuationSeparator" w:id="0">
    <w:p w:rsidR="00452606" w:rsidRDefault="00452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06" w:rsidRDefault="00452606">
      <w:pPr>
        <w:spacing w:line="240" w:lineRule="auto"/>
      </w:pPr>
      <w:r>
        <w:separator/>
      </w:r>
    </w:p>
  </w:footnote>
  <w:footnote w:type="continuationSeparator" w:id="0">
    <w:p w:rsidR="00452606" w:rsidRDefault="00452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224E4F"/>
    <w:rsid w:val="002300B6"/>
    <w:rsid w:val="00355082"/>
    <w:rsid w:val="003C73BE"/>
    <w:rsid w:val="004229C8"/>
    <w:rsid w:val="00452606"/>
    <w:rsid w:val="00463C44"/>
    <w:rsid w:val="004E5DE9"/>
    <w:rsid w:val="004F3290"/>
    <w:rsid w:val="00500B67"/>
    <w:rsid w:val="00550B6A"/>
    <w:rsid w:val="00595744"/>
    <w:rsid w:val="005A229C"/>
    <w:rsid w:val="006115FA"/>
    <w:rsid w:val="006116CE"/>
    <w:rsid w:val="00756450"/>
    <w:rsid w:val="007E3691"/>
    <w:rsid w:val="00913B9B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905D2-2CA7-4B6E-8414-6610E1A4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27</cp:revision>
  <dcterms:created xsi:type="dcterms:W3CDTF">2019-12-04T17:10:00Z</dcterms:created>
  <dcterms:modified xsi:type="dcterms:W3CDTF">2019-12-20T15:28:00Z</dcterms:modified>
</cp:coreProperties>
</file>