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77540" w14:textId="12CC18A4" w:rsidR="002D3394" w:rsidRDefault="002D3394">
      <w:r>
        <w:t>OAS Algorithm #1 –</w:t>
      </w:r>
      <w:r>
        <w:t xml:space="preserve"> VIX</w:t>
      </w:r>
      <w:r>
        <w:t xml:space="preserve"> Volatility Strategy</w:t>
      </w:r>
    </w:p>
    <w:p w14:paraId="26C93F7C" w14:textId="4014798A" w:rsidR="00464825" w:rsidRDefault="008B0E46">
      <w:r>
        <w:t>Theory</w:t>
      </w:r>
      <w:r w:rsidR="00747B81">
        <w:t>:</w:t>
      </w:r>
    </w:p>
    <w:p w14:paraId="335062E2" w14:textId="310441A2" w:rsidR="00026881" w:rsidRDefault="00026881">
      <w:r>
        <w:tab/>
      </w:r>
      <w:r w:rsidR="00553A6A">
        <w:t>Numerous studies have shown a negative correlation between stock market p</w:t>
      </w:r>
      <w:r w:rsidR="00747B81">
        <w:t>rices</w:t>
      </w:r>
      <w:r w:rsidR="00553A6A">
        <w:t xml:space="preserve"> and volatility. </w:t>
      </w:r>
      <w:r w:rsidR="00747B81">
        <w:t xml:space="preserve">Simply put, higher volatility corresponds to a higher probability of a declining market and lower volatility corresponds to a higher probability of an increasing market. </w:t>
      </w:r>
      <w:r w:rsidR="00553A6A">
        <w:t xml:space="preserve">We believe that we can develop a trading algorithm that can take advantage of this correlation. </w:t>
      </w:r>
      <w:r w:rsidR="00747B81">
        <w:t xml:space="preserve">While increased volatility can create many opportunities for day and swing traders, the client is looking to initiate and hold medium to long term positions. </w:t>
      </w:r>
      <w:proofErr w:type="gramStart"/>
      <w:r w:rsidR="00747B81">
        <w:t>Therefore</w:t>
      </w:r>
      <w:proofErr w:type="gramEnd"/>
      <w:r w:rsidR="00747B81">
        <w:t xml:space="preserve"> this algorithm will attempt to find good points of entry/exits over periods of a few months to a couple of years. </w:t>
      </w:r>
      <w:r w:rsidR="00553A6A">
        <w:t xml:space="preserve">The Chicago Board Options Exchange’s CBOE Volatility Index (VIX) is a popular measure of the stock market’s expectation of volatility (based on stock options from the S&amp;P 500 index) 30 days from the price date. The closing prices for VIX will be used as input for our algorithm. The other tickers we will be interested in testing as input are the VXNSM (NASDAQ) and RVXSM (Russell 2000); all are associated with the universe of indices that our client would like to trade, but for simplicity VIX will be our initial focus. </w:t>
      </w:r>
    </w:p>
    <w:p w14:paraId="18D7F0D0" w14:textId="158D90F5" w:rsidR="008B0E46" w:rsidRDefault="008B0E46">
      <w:r>
        <w:t>Method</w:t>
      </w:r>
      <w:r w:rsidR="00747B81">
        <w:t>:</w:t>
      </w:r>
    </w:p>
    <w:p w14:paraId="72FEB468" w14:textId="44E055B1" w:rsidR="00747B81" w:rsidRDefault="00D20865">
      <w:r>
        <w:tab/>
        <w:t xml:space="preserve">The closing price of VIX will be analyzed in a rolling </w:t>
      </w:r>
      <w:proofErr w:type="gramStart"/>
      <w:r>
        <w:t>one year</w:t>
      </w:r>
      <w:proofErr w:type="gramEnd"/>
      <w:r>
        <w:t xml:space="preserve"> window (253 trading days). Prices will be segregated into percentiles which will be used to make trading insights for market decisions. The one year rolling window would help to align with the historical price action of VIX; volatility tends to spike upwards over the span of &lt; 1 month. </w:t>
      </w:r>
      <w:r w:rsidR="000F4281">
        <w:t xml:space="preserve">Algorithm will be </w:t>
      </w:r>
      <w:proofErr w:type="gramStart"/>
      <w:r w:rsidR="000F4281">
        <w:t>back-tested</w:t>
      </w:r>
      <w:proofErr w:type="gramEnd"/>
      <w:r w:rsidR="000F4281">
        <w:t xml:space="preserve"> </w:t>
      </w:r>
      <w:r w:rsidR="000A0F41">
        <w:t xml:space="preserve">starting </w:t>
      </w:r>
      <w:r w:rsidR="000F4281">
        <w:t>from the year 2006, to the present, to test for resiliency through two black swan events (2008 housing crisis and 2020 C</w:t>
      </w:r>
      <w:r w:rsidR="000A0F41">
        <w:t>OVID</w:t>
      </w:r>
      <w:r w:rsidR="000F4281">
        <w:t xml:space="preserve"> crash). </w:t>
      </w:r>
    </w:p>
    <w:p w14:paraId="4086EBB5" w14:textId="681859BC" w:rsidR="00D20865" w:rsidRDefault="00D20865">
      <w:r>
        <w:rPr>
          <w:noProof/>
        </w:rPr>
        <w:drawing>
          <wp:inline distT="0" distB="0" distL="0" distR="0" wp14:anchorId="76D6EDBC" wp14:editId="4FA8A09D">
            <wp:extent cx="5943600" cy="3544570"/>
            <wp:effectExtent l="0" t="0" r="0" b="0"/>
            <wp:docPr id="1" name="Picture 1" descr="The VIX Spread | Seeking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VIX Spread | Seeking Alph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621F0F35" w14:textId="77777777" w:rsidR="00E03A6F" w:rsidRDefault="00E03A6F" w:rsidP="00E03A6F">
      <w:pPr>
        <w:pStyle w:val="ListParagraph"/>
      </w:pPr>
    </w:p>
    <w:p w14:paraId="36A531CC" w14:textId="77777777" w:rsidR="00E03A6F" w:rsidRDefault="00E03A6F" w:rsidP="00E03A6F">
      <w:pPr>
        <w:pStyle w:val="ListParagraph"/>
      </w:pPr>
    </w:p>
    <w:p w14:paraId="57B3D435" w14:textId="77777777" w:rsidR="00E03A6F" w:rsidRDefault="00E03A6F" w:rsidP="00E03A6F">
      <w:pPr>
        <w:pStyle w:val="ListParagraph"/>
      </w:pPr>
    </w:p>
    <w:p w14:paraId="54A08FF1" w14:textId="77777777" w:rsidR="00E03A6F" w:rsidRDefault="00E03A6F" w:rsidP="00E03A6F">
      <w:pPr>
        <w:pStyle w:val="ListParagraph"/>
      </w:pPr>
    </w:p>
    <w:p w14:paraId="6C249C27" w14:textId="6D042D86" w:rsidR="00E03A6F" w:rsidRDefault="00E03A6F" w:rsidP="00E03A6F">
      <w:pPr>
        <w:pStyle w:val="ListParagraph"/>
        <w:numPr>
          <w:ilvl w:val="0"/>
          <w:numId w:val="3"/>
        </w:numPr>
      </w:pPr>
      <w:r>
        <w:t>First iteration</w:t>
      </w:r>
    </w:p>
    <w:p w14:paraId="54537154" w14:textId="77777777" w:rsidR="00E03A6F" w:rsidRDefault="00E03A6F" w:rsidP="00E03A6F">
      <w:pPr>
        <w:pStyle w:val="ListParagraph"/>
        <w:ind w:left="1080"/>
      </w:pPr>
    </w:p>
    <w:p w14:paraId="3FB5C875" w14:textId="64EE3C44" w:rsidR="008B0E46" w:rsidRDefault="008B0E46" w:rsidP="00E03A6F">
      <w:pPr>
        <w:pStyle w:val="ListParagraph"/>
        <w:numPr>
          <w:ilvl w:val="0"/>
          <w:numId w:val="2"/>
        </w:numPr>
      </w:pPr>
      <w:r>
        <w:t>Hypothesis</w:t>
      </w:r>
      <w:r w:rsidR="00D20865">
        <w:t>:</w:t>
      </w:r>
    </w:p>
    <w:p w14:paraId="375514B5" w14:textId="57D5A23C" w:rsidR="00E03A6F" w:rsidRDefault="00E03A6F" w:rsidP="000F4281">
      <w:pPr>
        <w:ind w:left="720" w:firstLine="360"/>
      </w:pPr>
      <w:r>
        <w:t>Initiating a long position in</w:t>
      </w:r>
      <w:r w:rsidR="00570E5A">
        <w:t xml:space="preserve"> the</w:t>
      </w:r>
      <w:r>
        <w:t xml:space="preserve"> S&amp;P 500 when volatility spikes will align with the theory that increased volatility creates buying opportunities due to market sell offs. Likewise, decreas</w:t>
      </w:r>
      <w:r w:rsidR="00570E5A">
        <w:t>ed</w:t>
      </w:r>
      <w:r>
        <w:t xml:space="preserve"> volatility will</w:t>
      </w:r>
      <w:r w:rsidR="00570E5A">
        <w:t xml:space="preserve"> offer opportunities to sell at higher profit.</w:t>
      </w:r>
    </w:p>
    <w:p w14:paraId="166FCBEB" w14:textId="505252B0" w:rsidR="00E03A6F" w:rsidRDefault="008B0E46" w:rsidP="00E03A6F">
      <w:pPr>
        <w:pStyle w:val="ListParagraph"/>
        <w:numPr>
          <w:ilvl w:val="0"/>
          <w:numId w:val="2"/>
        </w:numPr>
      </w:pPr>
      <w:r>
        <w:t>Implementation</w:t>
      </w:r>
      <w:r w:rsidR="00E03A6F">
        <w:t>:</w:t>
      </w:r>
    </w:p>
    <w:p w14:paraId="7E55533E" w14:textId="77777777" w:rsidR="00E03A6F" w:rsidRDefault="00E03A6F" w:rsidP="000F4281">
      <w:pPr>
        <w:ind w:left="720" w:firstLine="360"/>
      </w:pPr>
      <w:r w:rsidRPr="00E03A6F">
        <w:t xml:space="preserve"> </w:t>
      </w:r>
      <w:r>
        <w:t>If the closing price of VIX rises above the 90</w:t>
      </w:r>
      <w:r w:rsidRPr="00D20865">
        <w:rPr>
          <w:vertAlign w:val="superscript"/>
        </w:rPr>
        <w:t>th</w:t>
      </w:r>
      <w:r>
        <w:t xml:space="preserve"> percentile for prices in the last 253 days, initiate a purchase of the S&amp;P500 index through UPRO (</w:t>
      </w:r>
      <w:proofErr w:type="spellStart"/>
      <w:r w:rsidRPr="00D20865">
        <w:t>ProShares</w:t>
      </w:r>
      <w:proofErr w:type="spellEnd"/>
      <w:r w:rsidRPr="00D20865">
        <w:t xml:space="preserve"> </w:t>
      </w:r>
      <w:proofErr w:type="spellStart"/>
      <w:r w:rsidRPr="00D20865">
        <w:t>UltraPro</w:t>
      </w:r>
      <w:proofErr w:type="spellEnd"/>
      <w:r w:rsidRPr="00D20865">
        <w:t xml:space="preserve"> S&amp;P500</w:t>
      </w:r>
      <w:r>
        <w:t>). If it falls below the 80</w:t>
      </w:r>
      <w:r w:rsidRPr="00D20865">
        <w:rPr>
          <w:vertAlign w:val="superscript"/>
        </w:rPr>
        <w:t>th</w:t>
      </w:r>
      <w:r>
        <w:t xml:space="preserve"> percentile, sell all shares of UPRO.</w:t>
      </w:r>
      <w:r w:rsidRPr="00E03A6F">
        <w:t xml:space="preserve"> </w:t>
      </w:r>
    </w:p>
    <w:p w14:paraId="43F0DD8D" w14:textId="6C546FE3" w:rsidR="00E03A6F" w:rsidRDefault="00E03A6F" w:rsidP="00E03A6F">
      <w:pPr>
        <w:ind w:left="720"/>
      </w:pPr>
      <w:r w:rsidRPr="00E03A6F">
        <w:rPr>
          <w:noProof/>
        </w:rPr>
        <w:drawing>
          <wp:inline distT="0" distB="0" distL="0" distR="0" wp14:anchorId="2AADF8D5" wp14:editId="0CA9E21F">
            <wp:extent cx="5943600" cy="4218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8940"/>
                    </a:xfrm>
                    <a:prstGeom prst="rect">
                      <a:avLst/>
                    </a:prstGeom>
                  </pic:spPr>
                </pic:pic>
              </a:graphicData>
            </a:graphic>
          </wp:inline>
        </w:drawing>
      </w:r>
    </w:p>
    <w:p w14:paraId="2EA54503" w14:textId="028D999F" w:rsidR="008B0E46" w:rsidRDefault="008B0E46" w:rsidP="00E03A6F">
      <w:pPr>
        <w:ind w:left="720"/>
      </w:pPr>
    </w:p>
    <w:p w14:paraId="0D4B24A2" w14:textId="16C9135A" w:rsidR="00570E5A" w:rsidRDefault="00570E5A" w:rsidP="00E03A6F">
      <w:pPr>
        <w:ind w:left="720"/>
      </w:pPr>
    </w:p>
    <w:p w14:paraId="3AF82C84" w14:textId="5DD0A3D3" w:rsidR="00570E5A" w:rsidRDefault="00570E5A" w:rsidP="00E03A6F">
      <w:pPr>
        <w:ind w:left="720"/>
      </w:pPr>
    </w:p>
    <w:p w14:paraId="2829ABF9" w14:textId="61B72C86" w:rsidR="00570E5A" w:rsidRDefault="00570E5A" w:rsidP="00E03A6F">
      <w:pPr>
        <w:ind w:left="720"/>
      </w:pPr>
    </w:p>
    <w:p w14:paraId="4B33EBF1" w14:textId="77777777" w:rsidR="00570E5A" w:rsidRDefault="00570E5A" w:rsidP="00E03A6F">
      <w:pPr>
        <w:ind w:left="720"/>
      </w:pPr>
    </w:p>
    <w:p w14:paraId="44C542A0" w14:textId="5E99D681" w:rsidR="00570E5A" w:rsidRDefault="008B0E46" w:rsidP="00570E5A">
      <w:pPr>
        <w:pStyle w:val="ListParagraph"/>
        <w:numPr>
          <w:ilvl w:val="0"/>
          <w:numId w:val="2"/>
        </w:numPr>
      </w:pPr>
      <w:r>
        <w:t>Results</w:t>
      </w:r>
      <w:r w:rsidR="00E03A6F">
        <w:t>:</w:t>
      </w:r>
      <w:r w:rsidR="00570E5A" w:rsidRPr="00570E5A">
        <w:t xml:space="preserve"> </w:t>
      </w:r>
    </w:p>
    <w:p w14:paraId="13F25D58" w14:textId="31791A7C" w:rsidR="00E03A6F" w:rsidRDefault="00570E5A" w:rsidP="00E03A6F">
      <w:r w:rsidRPr="00570E5A">
        <w:rPr>
          <w:noProof/>
        </w:rPr>
        <w:drawing>
          <wp:inline distT="0" distB="0" distL="0" distR="0" wp14:anchorId="79557F97" wp14:editId="7400B26D">
            <wp:extent cx="5991101" cy="335271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1181" cy="3380739"/>
                    </a:xfrm>
                    <a:prstGeom prst="rect">
                      <a:avLst/>
                    </a:prstGeom>
                  </pic:spPr>
                </pic:pic>
              </a:graphicData>
            </a:graphic>
          </wp:inline>
        </w:drawing>
      </w:r>
    </w:p>
    <w:p w14:paraId="428ED66F" w14:textId="77777777" w:rsidR="000F4281" w:rsidRDefault="00E03A6F" w:rsidP="000F4281">
      <w:pPr>
        <w:pStyle w:val="ListParagraph"/>
        <w:numPr>
          <w:ilvl w:val="0"/>
          <w:numId w:val="2"/>
        </w:numPr>
      </w:pPr>
      <w:r>
        <w:t>Conclusion</w:t>
      </w:r>
      <w:r w:rsidR="00570E5A">
        <w:t>:</w:t>
      </w:r>
    </w:p>
    <w:p w14:paraId="3FAF7D1E" w14:textId="68F3C87A" w:rsidR="00570E5A" w:rsidRDefault="00570E5A" w:rsidP="000F4281">
      <w:pPr>
        <w:pStyle w:val="ListParagraph"/>
        <w:ind w:left="1440" w:firstLine="720"/>
      </w:pPr>
      <w:r>
        <w:t xml:space="preserve">Buying during periods of increased volatility and selling during periods of low volatility did not yield profitable results. This could be due to a lag in the algorithm insights. Since VIX is a leading indicator, there may be a possibility that buying and selling were occurring too soon, leading to the purchase of assets as they were beginning to decline, and selling </w:t>
      </w:r>
      <w:r w:rsidR="000F4281">
        <w:t>before they had matured in profitability.</w:t>
      </w:r>
    </w:p>
    <w:p w14:paraId="6E1EF873" w14:textId="77777777" w:rsidR="00E03A6F" w:rsidRDefault="00E03A6F" w:rsidP="00E03A6F">
      <w:pPr>
        <w:pStyle w:val="ListParagraph"/>
        <w:ind w:left="1440"/>
      </w:pPr>
    </w:p>
    <w:p w14:paraId="4BD1A785" w14:textId="5A68F31C" w:rsidR="00E03A6F" w:rsidRDefault="00E03A6F" w:rsidP="00E03A6F">
      <w:pPr>
        <w:pStyle w:val="ListParagraph"/>
        <w:numPr>
          <w:ilvl w:val="0"/>
          <w:numId w:val="3"/>
        </w:numPr>
      </w:pPr>
      <w:r>
        <w:t>Second Iteration</w:t>
      </w:r>
    </w:p>
    <w:p w14:paraId="40A2DFEC" w14:textId="77777777" w:rsidR="00E03A6F" w:rsidRDefault="00E03A6F" w:rsidP="00E03A6F">
      <w:pPr>
        <w:pStyle w:val="ListParagraph"/>
        <w:ind w:left="1440"/>
      </w:pPr>
    </w:p>
    <w:p w14:paraId="6492A3F6" w14:textId="153CEFB4" w:rsidR="008B0E46" w:rsidRDefault="008B0E46" w:rsidP="00E03A6F">
      <w:pPr>
        <w:pStyle w:val="ListParagraph"/>
        <w:numPr>
          <w:ilvl w:val="0"/>
          <w:numId w:val="4"/>
        </w:numPr>
      </w:pPr>
      <w:r>
        <w:t>Hypothesis</w:t>
      </w:r>
    </w:p>
    <w:p w14:paraId="5DC493A5" w14:textId="10E77DE6" w:rsidR="00570E5A" w:rsidRDefault="00570E5A" w:rsidP="000F4281">
      <w:pPr>
        <w:ind w:left="1440" w:firstLine="360"/>
      </w:pPr>
      <w:r>
        <w:t xml:space="preserve">If the poor performance was due to lag, a counter strategy, where the selling of assets as </w:t>
      </w:r>
      <w:r w:rsidR="000F4281">
        <w:t>the VIX</w:t>
      </w:r>
      <w:r>
        <w:t xml:space="preserve"> is </w:t>
      </w:r>
      <w:r w:rsidR="000F4281">
        <w:t>increasing</w:t>
      </w:r>
      <w:r>
        <w:t>, and purchasing as VIX is decreasing, may show better performance.</w:t>
      </w:r>
      <w:r w:rsidR="000F4281">
        <w:t xml:space="preserve"> The asset that will be purchased will be SPXU (</w:t>
      </w:r>
      <w:proofErr w:type="spellStart"/>
      <w:r w:rsidR="000F4281" w:rsidRPr="000F4281">
        <w:t>ProShares</w:t>
      </w:r>
      <w:proofErr w:type="spellEnd"/>
      <w:r w:rsidR="000F4281" w:rsidRPr="000F4281">
        <w:t xml:space="preserve"> </w:t>
      </w:r>
      <w:proofErr w:type="spellStart"/>
      <w:r w:rsidR="000F4281" w:rsidRPr="000F4281">
        <w:t>UltraPro</w:t>
      </w:r>
      <w:proofErr w:type="spellEnd"/>
      <w:r w:rsidR="000F4281" w:rsidRPr="000F4281">
        <w:t xml:space="preserve"> Short S&amp;P500</w:t>
      </w:r>
      <w:r w:rsidR="000F4281">
        <w:t xml:space="preserve">), the short position counter of UPRO. </w:t>
      </w:r>
    </w:p>
    <w:p w14:paraId="25BEC5D8" w14:textId="70E8EB17" w:rsidR="000F4281" w:rsidRDefault="008B0E46" w:rsidP="000F4281">
      <w:pPr>
        <w:pStyle w:val="ListParagraph"/>
        <w:numPr>
          <w:ilvl w:val="0"/>
          <w:numId w:val="4"/>
        </w:numPr>
      </w:pPr>
      <w:r>
        <w:t>Implementation (Iteration 2</w:t>
      </w:r>
      <w:r w:rsidR="000F4281">
        <w:t>):</w:t>
      </w:r>
    </w:p>
    <w:p w14:paraId="04904E6D" w14:textId="77777777" w:rsidR="000F4281" w:rsidRDefault="000F4281" w:rsidP="000F4281">
      <w:pPr>
        <w:pStyle w:val="ListParagraph"/>
        <w:ind w:left="1800"/>
      </w:pPr>
    </w:p>
    <w:p w14:paraId="4E455C4A" w14:textId="3E74D192" w:rsidR="000F4281" w:rsidRDefault="000F4281" w:rsidP="000F4281">
      <w:pPr>
        <w:pStyle w:val="ListParagraph"/>
        <w:ind w:left="1800" w:firstLine="360"/>
      </w:pPr>
      <w:r>
        <w:t>If the closing price of VIX rises above the 90</w:t>
      </w:r>
      <w:r w:rsidRPr="000F4281">
        <w:rPr>
          <w:vertAlign w:val="superscript"/>
        </w:rPr>
        <w:t>th</w:t>
      </w:r>
      <w:r>
        <w:t xml:space="preserve"> percentile for prices in the last 253 days, initiate a short of the S&amp;P500 index through SPXU (</w:t>
      </w:r>
      <w:proofErr w:type="spellStart"/>
      <w:r w:rsidRPr="00D20865">
        <w:t>ProShares</w:t>
      </w:r>
      <w:proofErr w:type="spellEnd"/>
      <w:r w:rsidRPr="00D20865">
        <w:t xml:space="preserve"> </w:t>
      </w:r>
      <w:proofErr w:type="spellStart"/>
      <w:r w:rsidRPr="00D20865">
        <w:t>UltraPro</w:t>
      </w:r>
      <w:proofErr w:type="spellEnd"/>
      <w:r w:rsidRPr="00D20865">
        <w:t xml:space="preserve"> </w:t>
      </w:r>
      <w:r>
        <w:t xml:space="preserve">Short </w:t>
      </w:r>
      <w:r w:rsidRPr="00D20865">
        <w:t>S&amp;P500</w:t>
      </w:r>
      <w:r>
        <w:t>). If it falls below the 80</w:t>
      </w:r>
      <w:r w:rsidRPr="000F4281">
        <w:rPr>
          <w:vertAlign w:val="superscript"/>
        </w:rPr>
        <w:t>th</w:t>
      </w:r>
      <w:r>
        <w:t xml:space="preserve"> percentile, sell all shares of SPXU.</w:t>
      </w:r>
      <w:r w:rsidRPr="00E03A6F">
        <w:t xml:space="preserve"> </w:t>
      </w:r>
    </w:p>
    <w:p w14:paraId="328FB5FC" w14:textId="77777777" w:rsidR="000F4281" w:rsidRDefault="000F4281" w:rsidP="000F4281">
      <w:pPr>
        <w:pStyle w:val="ListParagraph"/>
        <w:ind w:left="1800"/>
      </w:pPr>
    </w:p>
    <w:p w14:paraId="6DEFCDCE" w14:textId="1333C6EA" w:rsidR="000F4281" w:rsidRDefault="000F4281" w:rsidP="000F4281">
      <w:r w:rsidRPr="000F4281">
        <w:rPr>
          <w:noProof/>
        </w:rPr>
        <w:drawing>
          <wp:inline distT="0" distB="0" distL="0" distR="0" wp14:anchorId="4462A898" wp14:editId="6D48DD39">
            <wp:extent cx="5943600" cy="4170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0680"/>
                    </a:xfrm>
                    <a:prstGeom prst="rect">
                      <a:avLst/>
                    </a:prstGeom>
                  </pic:spPr>
                </pic:pic>
              </a:graphicData>
            </a:graphic>
          </wp:inline>
        </w:drawing>
      </w:r>
    </w:p>
    <w:p w14:paraId="52590B86" w14:textId="592B229A" w:rsidR="008B0E46" w:rsidRDefault="008B0E46" w:rsidP="00E03A6F">
      <w:pPr>
        <w:pStyle w:val="ListParagraph"/>
        <w:numPr>
          <w:ilvl w:val="0"/>
          <w:numId w:val="4"/>
        </w:numPr>
      </w:pPr>
      <w:r>
        <w:t>Results</w:t>
      </w:r>
      <w:r w:rsidR="000F4281">
        <w:t>:</w:t>
      </w:r>
    </w:p>
    <w:p w14:paraId="66DB4B01" w14:textId="037FED26" w:rsidR="00412515" w:rsidRDefault="00412515" w:rsidP="00412515">
      <w:r w:rsidRPr="00412515">
        <w:rPr>
          <w:noProof/>
        </w:rPr>
        <w:drawing>
          <wp:inline distT="0" distB="0" distL="0" distR="0" wp14:anchorId="5DB96E78" wp14:editId="7D01DC9E">
            <wp:extent cx="5943600" cy="3305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5810"/>
                    </a:xfrm>
                    <a:prstGeom prst="rect">
                      <a:avLst/>
                    </a:prstGeom>
                  </pic:spPr>
                </pic:pic>
              </a:graphicData>
            </a:graphic>
          </wp:inline>
        </w:drawing>
      </w:r>
    </w:p>
    <w:p w14:paraId="6B8B9458" w14:textId="77777777" w:rsidR="000F4281" w:rsidRDefault="000F4281" w:rsidP="000F4281">
      <w:pPr>
        <w:ind w:left="1440"/>
      </w:pPr>
    </w:p>
    <w:p w14:paraId="72B734F5" w14:textId="12D87CC4" w:rsidR="00E03A6F" w:rsidRDefault="00E03A6F" w:rsidP="00E03A6F">
      <w:pPr>
        <w:pStyle w:val="ListParagraph"/>
        <w:numPr>
          <w:ilvl w:val="0"/>
          <w:numId w:val="4"/>
        </w:numPr>
      </w:pPr>
      <w:r>
        <w:t>Conclusion</w:t>
      </w:r>
      <w:r w:rsidR="00412515">
        <w:t>:</w:t>
      </w:r>
    </w:p>
    <w:p w14:paraId="16371A69" w14:textId="1A0C85AE" w:rsidR="00412515" w:rsidRDefault="00412515" w:rsidP="00412515">
      <w:pPr>
        <w:ind w:left="1440" w:firstLine="360"/>
      </w:pPr>
      <w:r>
        <w:t xml:space="preserve">There was a noticeable increase in performance when compared to the first iteration, where a long position was initiated versus a short. There were significant phases where the algorithm didn’t perform well, namely between 2015-2017, and remained </w:t>
      </w:r>
      <w:r w:rsidR="000A0F41">
        <w:t>stagnant</w:t>
      </w:r>
      <w:r>
        <w:t xml:space="preserve"> afterwards. Considering th</w:t>
      </w:r>
      <w:r w:rsidR="000A0F41">
        <w:t>e</w:t>
      </w:r>
      <w:r>
        <w:t xml:space="preserve">se were time frames that the economy was doing well as a whole, initiating a short position would have been costly without proper risk management. </w:t>
      </w:r>
    </w:p>
    <w:p w14:paraId="7EB6F990" w14:textId="2FACE170" w:rsidR="00E03A6F" w:rsidRDefault="00E03A6F" w:rsidP="00E03A6F">
      <w:pPr>
        <w:pStyle w:val="ListParagraph"/>
        <w:numPr>
          <w:ilvl w:val="0"/>
          <w:numId w:val="3"/>
        </w:numPr>
      </w:pPr>
      <w:r>
        <w:t>Third Iteration</w:t>
      </w:r>
    </w:p>
    <w:p w14:paraId="16C12795" w14:textId="6A7D9947" w:rsidR="008B0E46" w:rsidRDefault="008B0E46" w:rsidP="00E03A6F">
      <w:pPr>
        <w:pStyle w:val="ListParagraph"/>
        <w:numPr>
          <w:ilvl w:val="0"/>
          <w:numId w:val="5"/>
        </w:numPr>
      </w:pPr>
      <w:r>
        <w:t>Hypothesis</w:t>
      </w:r>
      <w:r w:rsidR="00412515">
        <w:t>:</w:t>
      </w:r>
    </w:p>
    <w:p w14:paraId="6F6E3373" w14:textId="13411ADF" w:rsidR="00412515" w:rsidRDefault="00412515" w:rsidP="00412515">
      <w:pPr>
        <w:ind w:left="1440" w:firstLine="360"/>
      </w:pPr>
      <w:r>
        <w:t>Proper risk management following the purchasing strategy outlined in the second iteration could result in less periods of high risk and drawdown, effectively increasing algorithm performance in terms of total market return.</w:t>
      </w:r>
    </w:p>
    <w:p w14:paraId="076FAAAF" w14:textId="656EDA39" w:rsidR="00412515" w:rsidRDefault="008B0E46" w:rsidP="00412515">
      <w:pPr>
        <w:pStyle w:val="ListParagraph"/>
        <w:numPr>
          <w:ilvl w:val="0"/>
          <w:numId w:val="5"/>
        </w:numPr>
      </w:pPr>
      <w:r>
        <w:t>Implementation (Iteration 3)</w:t>
      </w:r>
      <w:r w:rsidR="00412515">
        <w:t>:</w:t>
      </w:r>
    </w:p>
    <w:p w14:paraId="68B6AD19" w14:textId="77777777" w:rsidR="00412515" w:rsidRDefault="00412515" w:rsidP="00412515">
      <w:pPr>
        <w:pStyle w:val="ListParagraph"/>
        <w:ind w:left="1800"/>
      </w:pPr>
    </w:p>
    <w:p w14:paraId="7A36B89D" w14:textId="47E96957" w:rsidR="00412515" w:rsidRDefault="00412515" w:rsidP="00412515">
      <w:pPr>
        <w:pStyle w:val="ListParagraph"/>
        <w:ind w:left="1800" w:firstLine="360"/>
      </w:pPr>
      <w:r>
        <w:t>If the closing price of VIX rises above the 90</w:t>
      </w:r>
      <w:r w:rsidRPr="000F4281">
        <w:rPr>
          <w:vertAlign w:val="superscript"/>
        </w:rPr>
        <w:t>th</w:t>
      </w:r>
      <w:r>
        <w:t xml:space="preserve"> percentile for prices in the last 253 days, initiate a short of the S&amp;P500 index through SPXU (</w:t>
      </w:r>
      <w:proofErr w:type="spellStart"/>
      <w:r w:rsidRPr="00D20865">
        <w:t>ProShares</w:t>
      </w:r>
      <w:proofErr w:type="spellEnd"/>
      <w:r w:rsidRPr="00D20865">
        <w:t xml:space="preserve"> </w:t>
      </w:r>
      <w:proofErr w:type="spellStart"/>
      <w:r w:rsidRPr="00D20865">
        <w:t>UltraPro</w:t>
      </w:r>
      <w:proofErr w:type="spellEnd"/>
      <w:r w:rsidRPr="00D20865">
        <w:t xml:space="preserve"> </w:t>
      </w:r>
      <w:r>
        <w:t xml:space="preserve">Short </w:t>
      </w:r>
      <w:r w:rsidRPr="00D20865">
        <w:t>S&amp;P500</w:t>
      </w:r>
      <w:r>
        <w:t>). If it falls below the 80</w:t>
      </w:r>
      <w:r w:rsidRPr="000F4281">
        <w:rPr>
          <w:vertAlign w:val="superscript"/>
        </w:rPr>
        <w:t>th</w:t>
      </w:r>
      <w:r>
        <w:t xml:space="preserve"> percentile, sell all shares of SPXU.</w:t>
      </w:r>
      <w:r w:rsidRPr="00E03A6F">
        <w:t xml:space="preserve"> </w:t>
      </w:r>
      <w:r>
        <w:t xml:space="preserve">Add a trailing stop risk management model set at </w:t>
      </w:r>
      <w:r w:rsidR="000A0F41">
        <w:t>20</w:t>
      </w:r>
      <w:r>
        <w:t>%.</w:t>
      </w:r>
    </w:p>
    <w:p w14:paraId="0C8919B6" w14:textId="542E6BB8" w:rsidR="000A0F41" w:rsidRDefault="000A0F41" w:rsidP="000A0F41">
      <w:r w:rsidRPr="000A0F41">
        <w:rPr>
          <w:noProof/>
        </w:rPr>
        <w:lastRenderedPageBreak/>
        <w:drawing>
          <wp:inline distT="0" distB="0" distL="0" distR="0" wp14:anchorId="13E75221" wp14:editId="22CEDB5A">
            <wp:extent cx="5634842" cy="4259243"/>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6187" cy="4282936"/>
                    </a:xfrm>
                    <a:prstGeom prst="rect">
                      <a:avLst/>
                    </a:prstGeom>
                  </pic:spPr>
                </pic:pic>
              </a:graphicData>
            </a:graphic>
          </wp:inline>
        </w:drawing>
      </w:r>
    </w:p>
    <w:p w14:paraId="67003EC3" w14:textId="40223D72" w:rsidR="00412515" w:rsidRDefault="00412515" w:rsidP="00412515">
      <w:pPr>
        <w:ind w:left="1440"/>
      </w:pPr>
    </w:p>
    <w:p w14:paraId="02A8859F" w14:textId="77777777" w:rsidR="00412515" w:rsidRDefault="00412515" w:rsidP="00412515">
      <w:pPr>
        <w:ind w:left="1440"/>
      </w:pPr>
    </w:p>
    <w:p w14:paraId="518348EA" w14:textId="4A3A30DD" w:rsidR="008B0E46" w:rsidRDefault="008B0E46" w:rsidP="00E03A6F">
      <w:pPr>
        <w:pStyle w:val="ListParagraph"/>
        <w:numPr>
          <w:ilvl w:val="0"/>
          <w:numId w:val="5"/>
        </w:numPr>
      </w:pPr>
      <w:r>
        <w:t>Results</w:t>
      </w:r>
      <w:r w:rsidR="00412515">
        <w:t>:</w:t>
      </w:r>
    </w:p>
    <w:p w14:paraId="357170AB" w14:textId="6F42502C" w:rsidR="00855A52" w:rsidRDefault="00855A52" w:rsidP="00855A52">
      <w:r w:rsidRPr="00855A52">
        <w:rPr>
          <w:noProof/>
        </w:rPr>
        <w:lastRenderedPageBreak/>
        <w:drawing>
          <wp:inline distT="0" distB="0" distL="0" distR="0" wp14:anchorId="5E0AAA22" wp14:editId="7E551DAE">
            <wp:extent cx="594360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0095"/>
                    </a:xfrm>
                    <a:prstGeom prst="rect">
                      <a:avLst/>
                    </a:prstGeom>
                  </pic:spPr>
                </pic:pic>
              </a:graphicData>
            </a:graphic>
          </wp:inline>
        </w:drawing>
      </w:r>
    </w:p>
    <w:p w14:paraId="38216FC7" w14:textId="77777777" w:rsidR="00412515" w:rsidRDefault="00412515" w:rsidP="00412515">
      <w:pPr>
        <w:ind w:left="1440"/>
      </w:pPr>
    </w:p>
    <w:p w14:paraId="2C7E6463" w14:textId="6CF63BEE" w:rsidR="008B0E46" w:rsidRDefault="008B0E46" w:rsidP="00E03A6F">
      <w:pPr>
        <w:pStyle w:val="ListParagraph"/>
        <w:numPr>
          <w:ilvl w:val="0"/>
          <w:numId w:val="5"/>
        </w:numPr>
      </w:pPr>
      <w:r>
        <w:t>Conclusion</w:t>
      </w:r>
      <w:r w:rsidR="00855A52">
        <w:t>:</w:t>
      </w:r>
    </w:p>
    <w:p w14:paraId="3D65F95F" w14:textId="27A5F84E" w:rsidR="00855A52" w:rsidRDefault="00855A52" w:rsidP="00875269">
      <w:pPr>
        <w:ind w:left="1440" w:firstLine="360"/>
      </w:pPr>
      <w:r>
        <w:t xml:space="preserve">The addition of a trailing stop loss increased returns by about </w:t>
      </w:r>
      <w:proofErr w:type="gramStart"/>
      <w:r>
        <w:t>2x, but</w:t>
      </w:r>
      <w:proofErr w:type="gramEnd"/>
      <w:r>
        <w:t xml:space="preserve"> didn’t resolve the issue of large drawdowns and stagnancy from 2015 and onwards. This suggests that the current strategy might have just been suited for 2009-2015, due to unique market conditions. An alternative “dual-strategy” may be to go long on the S&amp;P 500 during periods of great economic growth, instead of solely implementing a short strategy.</w:t>
      </w:r>
    </w:p>
    <w:p w14:paraId="348FA242" w14:textId="19C76D11" w:rsidR="000C5FDA" w:rsidRDefault="000C5FDA" w:rsidP="000C5FDA">
      <w:pPr>
        <w:pStyle w:val="ListParagraph"/>
        <w:numPr>
          <w:ilvl w:val="0"/>
          <w:numId w:val="3"/>
        </w:numPr>
      </w:pPr>
      <w:r>
        <w:t>Fourth Iteration</w:t>
      </w:r>
    </w:p>
    <w:p w14:paraId="12AFD6EE" w14:textId="6C7E9BBE" w:rsidR="000C5FDA" w:rsidRDefault="000C5FDA" w:rsidP="000C5FDA">
      <w:pPr>
        <w:pStyle w:val="ListParagraph"/>
        <w:numPr>
          <w:ilvl w:val="1"/>
          <w:numId w:val="3"/>
        </w:numPr>
      </w:pPr>
      <w:r>
        <w:t>Hypothesis:</w:t>
      </w:r>
    </w:p>
    <w:p w14:paraId="5029B32C" w14:textId="402085C4" w:rsidR="000C5FDA" w:rsidRDefault="000C5FDA" w:rsidP="000C5FDA">
      <w:pPr>
        <w:ind w:left="1440" w:firstLine="720"/>
      </w:pPr>
      <w:r>
        <w:t xml:space="preserve">Implementing the inverse of the current strategy (going long on the S&amp;P 500), when volatility is decreasing, and selling when volatility hits new lows, will result in greater market returns. </w:t>
      </w:r>
    </w:p>
    <w:p w14:paraId="3AB88925" w14:textId="153D404D" w:rsidR="000C5FDA" w:rsidRDefault="000C5FDA" w:rsidP="000C5FDA">
      <w:pPr>
        <w:pStyle w:val="ListParagraph"/>
        <w:numPr>
          <w:ilvl w:val="1"/>
          <w:numId w:val="3"/>
        </w:numPr>
      </w:pPr>
      <w:r>
        <w:t>Implementation (Iteration 4):</w:t>
      </w:r>
    </w:p>
    <w:p w14:paraId="69D88CBB" w14:textId="12DEEC7B" w:rsidR="000C5FDA" w:rsidRDefault="000C5FDA" w:rsidP="000C5FDA">
      <w:pPr>
        <w:ind w:left="1440" w:firstLine="720"/>
      </w:pPr>
      <w:r>
        <w:t>If the closing price of the VIX falls below the 80</w:t>
      </w:r>
      <w:r w:rsidRPr="000C5FDA">
        <w:rPr>
          <w:vertAlign w:val="superscript"/>
        </w:rPr>
        <w:t>th</w:t>
      </w:r>
      <w:r>
        <w:t xml:space="preserve"> percentile, buy UPRO (go long on S&amp;P 500). If it falls below the 10</w:t>
      </w:r>
      <w:r w:rsidRPr="000C5FDA">
        <w:rPr>
          <w:vertAlign w:val="superscript"/>
        </w:rPr>
        <w:t>th</w:t>
      </w:r>
      <w:r>
        <w:t xml:space="preserve"> percentile, sell all shares of UPRO.</w:t>
      </w:r>
    </w:p>
    <w:p w14:paraId="0D22D865" w14:textId="58C69B74" w:rsidR="000C5FDA" w:rsidRDefault="000C5FDA" w:rsidP="000C5FDA">
      <w:r w:rsidRPr="000C5FDA">
        <w:rPr>
          <w:noProof/>
        </w:rPr>
        <w:lastRenderedPageBreak/>
        <w:drawing>
          <wp:inline distT="0" distB="0" distL="0" distR="0" wp14:anchorId="56469EC2" wp14:editId="794B4203">
            <wp:extent cx="5534025" cy="48913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7899" cy="4903608"/>
                    </a:xfrm>
                    <a:prstGeom prst="rect">
                      <a:avLst/>
                    </a:prstGeom>
                  </pic:spPr>
                </pic:pic>
              </a:graphicData>
            </a:graphic>
          </wp:inline>
        </w:drawing>
      </w:r>
    </w:p>
    <w:p w14:paraId="47F2498E" w14:textId="54133C70" w:rsidR="000C5FDA" w:rsidRDefault="000C5FDA" w:rsidP="000C5FDA">
      <w:pPr>
        <w:pStyle w:val="ListParagraph"/>
        <w:numPr>
          <w:ilvl w:val="1"/>
          <w:numId w:val="3"/>
        </w:numPr>
      </w:pPr>
      <w:r>
        <w:t>Results:</w:t>
      </w:r>
    </w:p>
    <w:p w14:paraId="01026DA2" w14:textId="2F893DE3" w:rsidR="000C5FDA" w:rsidRDefault="000C5FDA" w:rsidP="000C5FDA">
      <w:r w:rsidRPr="000C5FDA">
        <w:rPr>
          <w:noProof/>
        </w:rPr>
        <w:drawing>
          <wp:inline distT="0" distB="0" distL="0" distR="0" wp14:anchorId="3F180924" wp14:editId="0890D676">
            <wp:extent cx="5543550" cy="286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4514" cy="2871493"/>
                    </a:xfrm>
                    <a:prstGeom prst="rect">
                      <a:avLst/>
                    </a:prstGeom>
                  </pic:spPr>
                </pic:pic>
              </a:graphicData>
            </a:graphic>
          </wp:inline>
        </w:drawing>
      </w:r>
    </w:p>
    <w:p w14:paraId="33ADDE6E" w14:textId="0A41E202" w:rsidR="000C5FDA" w:rsidRDefault="000C5FDA" w:rsidP="000C5FDA">
      <w:pPr>
        <w:pStyle w:val="ListParagraph"/>
        <w:numPr>
          <w:ilvl w:val="1"/>
          <w:numId w:val="3"/>
        </w:numPr>
      </w:pPr>
      <w:r>
        <w:lastRenderedPageBreak/>
        <w:t>Conclusion:</w:t>
      </w:r>
    </w:p>
    <w:p w14:paraId="1C882525" w14:textId="627C4E8A" w:rsidR="000C5FDA" w:rsidRDefault="000C5FDA" w:rsidP="000C5FDA">
      <w:pPr>
        <w:ind w:left="1440" w:firstLine="720"/>
      </w:pPr>
      <w:r>
        <w:t xml:space="preserve">Implementing the </w:t>
      </w:r>
      <w:proofErr w:type="gramStart"/>
      <w:r>
        <w:t>dual-strategy</w:t>
      </w:r>
      <w:proofErr w:type="gramEnd"/>
      <w:r>
        <w:t xml:space="preserve"> of going short and long resulted in a huge increase in returns, suggesting that the algorithm is vastly improved. There are still regions of major drawdowns, which are hindering overall return, so other risk management models will be explored to increase performance. </w:t>
      </w:r>
    </w:p>
    <w:p w14:paraId="7B8BA35A" w14:textId="4900AEA7" w:rsidR="00F74A0B" w:rsidRDefault="00F74A0B" w:rsidP="00F74A0B">
      <w:pPr>
        <w:pStyle w:val="ListParagraph"/>
        <w:numPr>
          <w:ilvl w:val="0"/>
          <w:numId w:val="3"/>
        </w:numPr>
      </w:pPr>
      <w:r>
        <w:t>Fifth Iteration</w:t>
      </w:r>
    </w:p>
    <w:p w14:paraId="3A39274B" w14:textId="7EA93F27" w:rsidR="00F74A0B" w:rsidRDefault="00F74A0B" w:rsidP="00F74A0B">
      <w:pPr>
        <w:pStyle w:val="ListParagraph"/>
        <w:numPr>
          <w:ilvl w:val="1"/>
          <w:numId w:val="3"/>
        </w:numPr>
      </w:pPr>
      <w:r>
        <w:t>Hypothesis:</w:t>
      </w:r>
    </w:p>
    <w:p w14:paraId="3DE8B18E" w14:textId="2F323FC7" w:rsidR="00F74A0B" w:rsidRDefault="00F74A0B" w:rsidP="00875269">
      <w:pPr>
        <w:ind w:left="2160" w:firstLine="720"/>
      </w:pPr>
      <w:r>
        <w:t xml:space="preserve">In order to increase returns/performance of the algorithm, the order executions will be </w:t>
      </w:r>
      <w:proofErr w:type="spellStart"/>
      <w:r>
        <w:t>fine tuned</w:t>
      </w:r>
      <w:proofErr w:type="spellEnd"/>
      <w:r>
        <w:t>. There are currently three conditions in which orders are placed, all conditions aren’t equal however, in the expectation of return. Once a price crosses the 90</w:t>
      </w:r>
      <w:r w:rsidRPr="00F74A0B">
        <w:rPr>
          <w:vertAlign w:val="superscript"/>
        </w:rPr>
        <w:t>th</w:t>
      </w:r>
      <w:r>
        <w:t xml:space="preserve"> percentile for volatility, chances for market decline increase, so a short position is more profitable. Likewise, when volatility is declining from recent highs, the chances for market increase go up. More leverage/buying power should be allocated for these conditions.</w:t>
      </w:r>
    </w:p>
    <w:p w14:paraId="239E5B39" w14:textId="3D343A8B" w:rsidR="00F74A0B" w:rsidRDefault="00F74A0B" w:rsidP="00F74A0B">
      <w:pPr>
        <w:pStyle w:val="ListParagraph"/>
        <w:numPr>
          <w:ilvl w:val="1"/>
          <w:numId w:val="3"/>
        </w:numPr>
      </w:pPr>
      <w:r>
        <w:t>Implementation (Iteration 5):</w:t>
      </w:r>
    </w:p>
    <w:p w14:paraId="17B6CA4E" w14:textId="35C590EE" w:rsidR="00F74A0B" w:rsidRDefault="00F74A0B" w:rsidP="00875269">
      <w:pPr>
        <w:ind w:left="2160" w:firstLine="720"/>
      </w:pPr>
      <w:r>
        <w:t>The conditions will be modified so that in the occasion one of these is reached, more buying power is allocated to execution and thus, higher returns. When SPXU is purchased, all other holdings will be liquidated, and the same will occur when UPRO goes long.</w:t>
      </w:r>
    </w:p>
    <w:p w14:paraId="7755D9EB" w14:textId="47071033" w:rsidR="00F74A0B" w:rsidRDefault="00F74A0B" w:rsidP="00F74A0B">
      <w:r w:rsidRPr="00F74A0B">
        <w:rPr>
          <w:noProof/>
        </w:rPr>
        <w:lastRenderedPageBreak/>
        <w:drawing>
          <wp:inline distT="0" distB="0" distL="0" distR="0" wp14:anchorId="6B4FA01E" wp14:editId="347C4B89">
            <wp:extent cx="5848350" cy="5188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8458" cy="5259606"/>
                    </a:xfrm>
                    <a:prstGeom prst="rect">
                      <a:avLst/>
                    </a:prstGeom>
                  </pic:spPr>
                </pic:pic>
              </a:graphicData>
            </a:graphic>
          </wp:inline>
        </w:drawing>
      </w:r>
    </w:p>
    <w:p w14:paraId="520AC28B" w14:textId="6AAA1F4E" w:rsidR="0064576E" w:rsidRDefault="0064576E" w:rsidP="0064576E">
      <w:pPr>
        <w:pStyle w:val="ListParagraph"/>
        <w:numPr>
          <w:ilvl w:val="1"/>
          <w:numId w:val="3"/>
        </w:numPr>
        <w:tabs>
          <w:tab w:val="left" w:pos="1935"/>
        </w:tabs>
      </w:pPr>
      <w:r>
        <w:t>Results:</w:t>
      </w:r>
    </w:p>
    <w:p w14:paraId="1B7FE348" w14:textId="344894D4" w:rsidR="0064576E" w:rsidRDefault="0064576E" w:rsidP="0064576E">
      <w:pPr>
        <w:tabs>
          <w:tab w:val="left" w:pos="1935"/>
        </w:tabs>
      </w:pPr>
      <w:r w:rsidRPr="0064576E">
        <w:rPr>
          <w:noProof/>
        </w:rPr>
        <w:lastRenderedPageBreak/>
        <w:drawing>
          <wp:inline distT="0" distB="0" distL="0" distR="0" wp14:anchorId="18F641E4" wp14:editId="1222507F">
            <wp:extent cx="5897656" cy="32575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3801" cy="3271991"/>
                    </a:xfrm>
                    <a:prstGeom prst="rect">
                      <a:avLst/>
                    </a:prstGeom>
                  </pic:spPr>
                </pic:pic>
              </a:graphicData>
            </a:graphic>
          </wp:inline>
        </w:drawing>
      </w:r>
    </w:p>
    <w:p w14:paraId="5F825FB5" w14:textId="4A09CAFE" w:rsidR="0064576E" w:rsidRDefault="0064576E" w:rsidP="0064576E"/>
    <w:p w14:paraId="665BE484" w14:textId="3B8EC1CE" w:rsidR="0064576E" w:rsidRDefault="0064576E" w:rsidP="0064576E">
      <w:pPr>
        <w:pStyle w:val="ListParagraph"/>
        <w:numPr>
          <w:ilvl w:val="1"/>
          <w:numId w:val="3"/>
        </w:numPr>
      </w:pPr>
      <w:r>
        <w:t>Conclusion:</w:t>
      </w:r>
    </w:p>
    <w:p w14:paraId="6E5A7F88" w14:textId="52EC932E" w:rsidR="0064576E" w:rsidRDefault="0064576E" w:rsidP="0064576E">
      <w:pPr>
        <w:ind w:left="1440" w:firstLine="720"/>
      </w:pPr>
      <w:r>
        <w:t xml:space="preserve">Leveraging more capital towards the more favorable situations resulted in increased returns, as well as a higher probabilistic </w:t>
      </w:r>
      <w:proofErr w:type="spellStart"/>
      <w:r>
        <w:t>sharpe</w:t>
      </w:r>
      <w:proofErr w:type="spellEnd"/>
      <w:r>
        <w:t xml:space="preserve"> ratio. The issue of large drawdowns still stands, as well as the frequent orders (averaging ~56</w:t>
      </w:r>
      <w:r w:rsidR="00875269">
        <w:t>0</w:t>
      </w:r>
      <w:r>
        <w:t xml:space="preserve"> orders/year). The client would like to steer away from high frequency trading. The areas for improvement are risk management and trading</w:t>
      </w:r>
      <w:r w:rsidR="00FD2AD6">
        <w:t xml:space="preserve"> frequency</w:t>
      </w:r>
      <w:r>
        <w:t>.</w:t>
      </w:r>
    </w:p>
    <w:p w14:paraId="300D186B" w14:textId="345317C8" w:rsidR="00875269" w:rsidRDefault="003D7EFE" w:rsidP="00875269">
      <w:pPr>
        <w:pStyle w:val="ListParagraph"/>
        <w:numPr>
          <w:ilvl w:val="0"/>
          <w:numId w:val="3"/>
        </w:numPr>
      </w:pPr>
      <w:r>
        <w:t>Final</w:t>
      </w:r>
      <w:r w:rsidR="00875269">
        <w:t xml:space="preserve"> Iteration</w:t>
      </w:r>
    </w:p>
    <w:p w14:paraId="016E9F49" w14:textId="77777777" w:rsidR="00875269" w:rsidRDefault="00875269" w:rsidP="00875269">
      <w:pPr>
        <w:pStyle w:val="ListParagraph"/>
        <w:numPr>
          <w:ilvl w:val="1"/>
          <w:numId w:val="3"/>
        </w:numPr>
      </w:pPr>
      <w:r>
        <w:t>Hypothesis:</w:t>
      </w:r>
    </w:p>
    <w:p w14:paraId="0BE161E7" w14:textId="7C262EAD" w:rsidR="00875269" w:rsidRDefault="00875269" w:rsidP="00875269">
      <w:pPr>
        <w:ind w:left="2160" w:firstLine="720"/>
      </w:pPr>
      <w:r>
        <w:t>In order to decrease</w:t>
      </w:r>
      <w:r w:rsidR="00EA5B87">
        <w:t xml:space="preserve"> trading frequency to meet client demands, the data will be consolidated to weekly bars, resulting in less price fluctuation and therefore less trades.</w:t>
      </w:r>
    </w:p>
    <w:p w14:paraId="60759F1A" w14:textId="6C1AA6E9" w:rsidR="00875269" w:rsidRDefault="00875269" w:rsidP="00875269">
      <w:pPr>
        <w:pStyle w:val="ListParagraph"/>
        <w:numPr>
          <w:ilvl w:val="1"/>
          <w:numId w:val="3"/>
        </w:numPr>
      </w:pPr>
      <w:r>
        <w:t xml:space="preserve">Implementation (Iteration </w:t>
      </w:r>
      <w:r w:rsidR="003D7EFE">
        <w:t>6</w:t>
      </w:r>
      <w:r>
        <w:t>):</w:t>
      </w:r>
    </w:p>
    <w:p w14:paraId="1B659907" w14:textId="2B549CB5" w:rsidR="00875269" w:rsidRDefault="00EA5B87" w:rsidP="00875269">
      <w:pPr>
        <w:ind w:left="2160" w:firstLine="720"/>
      </w:pPr>
      <w:r>
        <w:t xml:space="preserve">Set </w:t>
      </w:r>
      <w:proofErr w:type="spellStart"/>
      <w:r>
        <w:t>timedelta</w:t>
      </w:r>
      <w:proofErr w:type="spellEnd"/>
      <w:r>
        <w:t xml:space="preserve"> to 7 on the daily resolution, change rolling window to 52 (for weeks in a year).</w:t>
      </w:r>
    </w:p>
    <w:p w14:paraId="680C8380" w14:textId="32830372" w:rsidR="00EA5B87" w:rsidRDefault="00EA5B87" w:rsidP="00EA5B87">
      <w:r w:rsidRPr="00EA5B87">
        <w:rPr>
          <w:noProof/>
        </w:rPr>
        <w:lastRenderedPageBreak/>
        <w:drawing>
          <wp:inline distT="0" distB="0" distL="0" distR="0" wp14:anchorId="6727EDF9" wp14:editId="0F951437">
            <wp:extent cx="5943600" cy="5525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25770"/>
                    </a:xfrm>
                    <a:prstGeom prst="rect">
                      <a:avLst/>
                    </a:prstGeom>
                  </pic:spPr>
                </pic:pic>
              </a:graphicData>
            </a:graphic>
          </wp:inline>
        </w:drawing>
      </w:r>
    </w:p>
    <w:p w14:paraId="74BD53AD" w14:textId="4A4DF781" w:rsidR="0064576E" w:rsidRDefault="00EA5B87" w:rsidP="00EA5B87">
      <w:pPr>
        <w:pStyle w:val="ListParagraph"/>
        <w:numPr>
          <w:ilvl w:val="1"/>
          <w:numId w:val="3"/>
        </w:numPr>
        <w:tabs>
          <w:tab w:val="left" w:pos="1200"/>
        </w:tabs>
      </w:pPr>
      <w:r>
        <w:t>Results:</w:t>
      </w:r>
    </w:p>
    <w:p w14:paraId="2C1CF2FF" w14:textId="49D8AA77" w:rsidR="00EA5B87" w:rsidRDefault="009E7E35" w:rsidP="00EA5B87">
      <w:pPr>
        <w:tabs>
          <w:tab w:val="left" w:pos="1200"/>
        </w:tabs>
      </w:pPr>
      <w:bookmarkStart w:id="0" w:name="_GoBack"/>
      <w:r>
        <w:rPr>
          <w:noProof/>
        </w:rPr>
        <w:lastRenderedPageBreak/>
        <w:drawing>
          <wp:inline distT="0" distB="0" distL="0" distR="0" wp14:anchorId="18107318" wp14:editId="72D6F73F">
            <wp:extent cx="5943600" cy="2874010"/>
            <wp:effectExtent l="0" t="0" r="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stoneAlgo1_final_resul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bookmarkEnd w:id="0"/>
    </w:p>
    <w:p w14:paraId="6602BDEF" w14:textId="315EF454" w:rsidR="00EA5B87" w:rsidRDefault="00EA5B87" w:rsidP="00EA5B87">
      <w:pPr>
        <w:pStyle w:val="ListParagraph"/>
        <w:numPr>
          <w:ilvl w:val="1"/>
          <w:numId w:val="3"/>
        </w:numPr>
      </w:pPr>
      <w:r>
        <w:t>Conclusion:</w:t>
      </w:r>
    </w:p>
    <w:p w14:paraId="07FDF1FD" w14:textId="5DC3B955" w:rsidR="003D7EFE" w:rsidRDefault="00EA5B87" w:rsidP="003D7EFE">
      <w:pPr>
        <w:ind w:left="720" w:firstLine="720"/>
      </w:pPr>
      <w:r>
        <w:t>Performance/returns increased dramatically, but trading frequency only dropped about 10%, which remains a problem. Other statistics, however, improved as drawdown percentage decreased and other factors like win ratio/returns increased. While a more positive return was expected, the reasons for this dramatic change are still not well understood. Will continue to focus on decreasing trading frequency and understanding the factors behind the performance change.</w:t>
      </w:r>
    </w:p>
    <w:p w14:paraId="38A9D383" w14:textId="5CFC84C0" w:rsidR="00820ADC" w:rsidRPr="00820ADC" w:rsidRDefault="00820ADC" w:rsidP="00820ADC">
      <w:pPr>
        <w:rPr>
          <w:u w:val="single"/>
        </w:rPr>
      </w:pPr>
      <w:r w:rsidRPr="00820ADC">
        <w:rPr>
          <w:u w:val="single"/>
        </w:rPr>
        <w:t>Final Metrics:</w:t>
      </w:r>
    </w:p>
    <w:p w14:paraId="227BC186"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Total Trades</w:t>
      </w:r>
    </w:p>
    <w:p w14:paraId="00BBF5B8"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3875</w:t>
      </w:r>
    </w:p>
    <w:p w14:paraId="45CE449F"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Average Win</w:t>
      </w:r>
    </w:p>
    <w:p w14:paraId="152B6B1F"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1.43%</w:t>
      </w:r>
    </w:p>
    <w:p w14:paraId="3DB93DA8"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Average Loss</w:t>
      </w:r>
    </w:p>
    <w:p w14:paraId="067F351E"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-1.33%</w:t>
      </w:r>
    </w:p>
    <w:p w14:paraId="592586A1"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Compounding Annual Return</w:t>
      </w:r>
    </w:p>
    <w:p w14:paraId="0FAABA50"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67.755%</w:t>
      </w:r>
    </w:p>
    <w:p w14:paraId="23BA5127"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Drawdown</w:t>
      </w:r>
    </w:p>
    <w:p w14:paraId="3DC80096"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50.000%</w:t>
      </w:r>
    </w:p>
    <w:p w14:paraId="3CCB55E8"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Expectancy</w:t>
      </w:r>
    </w:p>
    <w:p w14:paraId="5FAB6FD5"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0.279</w:t>
      </w:r>
    </w:p>
    <w:p w14:paraId="4EEE3451"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lastRenderedPageBreak/>
        <w:t>Net Profit</w:t>
      </w:r>
    </w:p>
    <w:p w14:paraId="2359DD85"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214646.353%</w:t>
      </w:r>
    </w:p>
    <w:p w14:paraId="499405D7"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Sharpe Ratio</w:t>
      </w:r>
    </w:p>
    <w:p w14:paraId="4EB0F0BB"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1.539</w:t>
      </w:r>
    </w:p>
    <w:p w14:paraId="751017C9"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PSR</w:t>
      </w:r>
    </w:p>
    <w:p w14:paraId="056D82C4"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77.073%</w:t>
      </w:r>
    </w:p>
    <w:p w14:paraId="553E5FB6"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Loss Rate</w:t>
      </w:r>
    </w:p>
    <w:p w14:paraId="54EAA008"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38%</w:t>
      </w:r>
    </w:p>
    <w:p w14:paraId="480A47B8"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Win Rate</w:t>
      </w:r>
    </w:p>
    <w:p w14:paraId="4D6E3E80"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62%</w:t>
      </w:r>
    </w:p>
    <w:p w14:paraId="19609A7B"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Profit-Loss Ratio</w:t>
      </w:r>
    </w:p>
    <w:p w14:paraId="2A131C54"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1.07</w:t>
      </w:r>
    </w:p>
    <w:p w14:paraId="3A328C78"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Alpha</w:t>
      </w:r>
    </w:p>
    <w:p w14:paraId="4043BC26"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0.676</w:t>
      </w:r>
    </w:p>
    <w:p w14:paraId="0195CE82"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Beta</w:t>
      </w:r>
    </w:p>
    <w:p w14:paraId="6B1FF664"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0.16</w:t>
      </w:r>
    </w:p>
    <w:p w14:paraId="443C37C4"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Annual Standard Deviation</w:t>
      </w:r>
    </w:p>
    <w:p w14:paraId="55342CB3"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0.449</w:t>
      </w:r>
    </w:p>
    <w:p w14:paraId="4DA3A857"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Annual Variance</w:t>
      </w:r>
    </w:p>
    <w:p w14:paraId="1A7DFF3A"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0.202</w:t>
      </w:r>
    </w:p>
    <w:p w14:paraId="6EB523F1"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Information Ratio</w:t>
      </w:r>
    </w:p>
    <w:p w14:paraId="3630C685"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1.266</w:t>
      </w:r>
    </w:p>
    <w:p w14:paraId="083C9A70"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Tracking Error</w:t>
      </w:r>
    </w:p>
    <w:p w14:paraId="17FD5E0E"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0.473</w:t>
      </w:r>
    </w:p>
    <w:p w14:paraId="6E0E0EBB"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Treynor Ratio</w:t>
      </w:r>
    </w:p>
    <w:p w14:paraId="2C581F5C"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4.32</w:t>
      </w:r>
    </w:p>
    <w:p w14:paraId="4BB7D6FA" w14:textId="77777777" w:rsidR="003D7EFE" w:rsidRPr="003D7EFE" w:rsidRDefault="003D7EFE" w:rsidP="003D7EFE">
      <w:pPr>
        <w:shd w:val="clear" w:color="auto" w:fill="26262A"/>
        <w:spacing w:after="0" w:line="525" w:lineRule="atLeast"/>
        <w:rPr>
          <w:rFonts w:ascii="Helvetica" w:eastAsia="Times New Roman" w:hAnsi="Helvetica" w:cs="Helvetica"/>
          <w:color w:val="EBEBEB"/>
          <w:sz w:val="20"/>
          <w:szCs w:val="20"/>
        </w:rPr>
      </w:pPr>
      <w:r w:rsidRPr="003D7EFE">
        <w:rPr>
          <w:rFonts w:ascii="Helvetica" w:eastAsia="Times New Roman" w:hAnsi="Helvetica" w:cs="Helvetica"/>
          <w:color w:val="EBEBEB"/>
          <w:sz w:val="20"/>
          <w:szCs w:val="20"/>
        </w:rPr>
        <w:t>Total Fees</w:t>
      </w:r>
    </w:p>
    <w:p w14:paraId="66BF0464" w14:textId="77777777" w:rsidR="003D7EFE" w:rsidRPr="003D7EFE" w:rsidRDefault="003D7EFE" w:rsidP="003D7EFE">
      <w:pPr>
        <w:shd w:val="clear" w:color="auto" w:fill="26262A"/>
        <w:spacing w:after="0" w:line="360" w:lineRule="atLeast"/>
        <w:rPr>
          <w:rFonts w:ascii="Courier New" w:eastAsia="Times New Roman" w:hAnsi="Courier New" w:cs="Courier New"/>
          <w:color w:val="EBEBEB"/>
          <w:sz w:val="20"/>
          <w:szCs w:val="20"/>
        </w:rPr>
      </w:pPr>
      <w:r w:rsidRPr="003D7EFE">
        <w:rPr>
          <w:rFonts w:ascii="Courier New" w:eastAsia="Times New Roman" w:hAnsi="Courier New" w:cs="Courier New"/>
          <w:color w:val="EBEBEB"/>
          <w:sz w:val="20"/>
          <w:szCs w:val="20"/>
        </w:rPr>
        <w:t>$15536870.43</w:t>
      </w:r>
    </w:p>
    <w:p w14:paraId="712E083D" w14:textId="35CDACE8" w:rsidR="003D7EFE" w:rsidRDefault="003D7EFE" w:rsidP="003D7EFE"/>
    <w:p w14:paraId="2E6F054B" w14:textId="071BE08B" w:rsidR="00DB218C" w:rsidRDefault="00DB218C" w:rsidP="003D7EFE">
      <w:pPr>
        <w:rPr>
          <w:u w:val="single"/>
        </w:rPr>
      </w:pPr>
      <w:r w:rsidRPr="00DB218C">
        <w:rPr>
          <w:u w:val="single"/>
        </w:rPr>
        <w:lastRenderedPageBreak/>
        <w:t>Summary:</w:t>
      </w:r>
    </w:p>
    <w:p w14:paraId="5381F994" w14:textId="0ECC933C" w:rsidR="00DB218C" w:rsidRDefault="009E7E35" w:rsidP="009E7E35">
      <w:pPr>
        <w:jc w:val="both"/>
      </w:pPr>
      <w:r>
        <w:tab/>
        <w:t xml:space="preserve">After researching and brainstorming ideas to modify the algorithm for decreased trading, no alternative avenues were found. Volatility itself is an indicator favored by day/swing traders because it often presents short term buying opportunities. Therefore, an algorithm based solely on volatility would be difficult to implement as a passive strategy. </w:t>
      </w:r>
      <w:r w:rsidR="00822D07">
        <w:t xml:space="preserve">In conclusion, this algorithm is only recommended as a swing/day trade strategy. </w:t>
      </w:r>
      <w:r>
        <w:t>In the final metrics</w:t>
      </w:r>
      <w:r w:rsidR="00822D07">
        <w:t>, the algorithm showed impressive statistics including, but not limited to: 214,646.35% total return over a 10-yr period, a 62% win rate, positive profit/loss ratio</w:t>
      </w:r>
      <w:r w:rsidR="0016479B">
        <w:t xml:space="preserve"> of 1.07</w:t>
      </w:r>
      <w:r w:rsidR="00822D07">
        <w:t xml:space="preserve">, 67% compounding annual return, and a 1.53 Sharpe Ratio; this effectively outperformed benchmarks set by the buy-and-hold strategy for the same equity (UPRO, 2809% return over the same time period). </w:t>
      </w:r>
    </w:p>
    <w:p w14:paraId="25851AF6" w14:textId="1117826A" w:rsidR="00822D07" w:rsidRDefault="00822D07" w:rsidP="009E7E35">
      <w:pPr>
        <w:jc w:val="both"/>
        <w:rPr>
          <w:u w:val="single"/>
        </w:rPr>
      </w:pPr>
      <w:r w:rsidRPr="00822D07">
        <w:rPr>
          <w:u w:val="single"/>
        </w:rPr>
        <w:t>Algorithm Continuance/Guidance:</w:t>
      </w:r>
    </w:p>
    <w:p w14:paraId="4DF2E5DD" w14:textId="5AD35A61" w:rsidR="00822D07" w:rsidRPr="00822D07" w:rsidRDefault="00822D07" w:rsidP="009E7E35">
      <w:pPr>
        <w:jc w:val="both"/>
      </w:pPr>
      <w:r>
        <w:tab/>
      </w:r>
      <w:r w:rsidR="00DB6015">
        <w:t>The main area in which this algorithm could use improvement is risk management. Over every iteration, large market drawdowns continued to decrease capital</w:t>
      </w:r>
      <w:r w:rsidR="002E6CF5">
        <w:t xml:space="preserve"> substantially</w:t>
      </w:r>
      <w:r w:rsidR="00DB6015">
        <w:t xml:space="preserve"> and therefore affected overall gains. </w:t>
      </w:r>
      <w:r>
        <w:t xml:space="preserve">This algorithm has </w:t>
      </w:r>
      <w:r w:rsidR="00DB6015">
        <w:t xml:space="preserve">also </w:t>
      </w:r>
      <w:r>
        <w:t xml:space="preserve">yet to be tested under various sectors, stocks, and different ETFs within the same universe (TQQQ, UDOW, URTY). </w:t>
      </w:r>
      <w:r w:rsidR="00C73693">
        <w:t xml:space="preserve">Additional testing may provide insights into how volatility can serve as a better indicator in certain conditions over others. The core of this algorithm could also be used for buy/sell signals or confirmation in other market strategies. Regardless, volatility has proven to be an extremely useful indicator of market conditions and </w:t>
      </w:r>
      <w:proofErr w:type="gramStart"/>
      <w:r w:rsidR="00C73693">
        <w:t>it’s</w:t>
      </w:r>
      <w:proofErr w:type="gramEnd"/>
      <w:r w:rsidR="00C73693">
        <w:t xml:space="preserve"> correlation to prices would be an asset to the alpha of most algorithms.</w:t>
      </w:r>
    </w:p>
    <w:sectPr w:rsidR="00822D07" w:rsidRPr="00822D0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4CF06" w14:textId="77777777" w:rsidR="00932FAF" w:rsidRDefault="00932FAF" w:rsidP="00026881">
      <w:pPr>
        <w:spacing w:after="0" w:line="240" w:lineRule="auto"/>
      </w:pPr>
      <w:r>
        <w:separator/>
      </w:r>
    </w:p>
  </w:endnote>
  <w:endnote w:type="continuationSeparator" w:id="0">
    <w:p w14:paraId="327271D6" w14:textId="77777777" w:rsidR="00932FAF" w:rsidRDefault="00932FAF" w:rsidP="0002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640A5" w14:textId="77777777" w:rsidR="00932FAF" w:rsidRDefault="00932FAF" w:rsidP="00026881">
      <w:pPr>
        <w:spacing w:after="0" w:line="240" w:lineRule="auto"/>
      </w:pPr>
      <w:r>
        <w:separator/>
      </w:r>
    </w:p>
  </w:footnote>
  <w:footnote w:type="continuationSeparator" w:id="0">
    <w:p w14:paraId="4934A406" w14:textId="77777777" w:rsidR="00932FAF" w:rsidRDefault="00932FAF" w:rsidP="00026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BC123" w14:textId="5B5CD5AC" w:rsidR="00026881" w:rsidRDefault="002D3394">
    <w:pPr>
      <w:pStyle w:val="Header"/>
    </w:pPr>
    <w:r>
      <w:t xml:space="preserve">OAS </w:t>
    </w:r>
    <w:r w:rsidR="00026881">
      <w:t>Algorithm #1 – Volatility Strateg</w:t>
    </w:r>
    <w:r>
      <w:t>y</w:t>
    </w:r>
    <w:r w:rsidR="00026881">
      <w:tab/>
    </w:r>
    <w:r w:rsidR="00026881">
      <w:tab/>
      <w:t>Oliver Solorzano</w:t>
    </w:r>
  </w:p>
  <w:p w14:paraId="2CD1FAE8" w14:textId="7DB3831F" w:rsidR="00026881" w:rsidRDefault="00026881">
    <w:pPr>
      <w:pStyle w:val="Header"/>
    </w:pPr>
    <w:r>
      <w:tab/>
    </w:r>
    <w:r>
      <w:tab/>
      <w:t>CS 467 Capstone</w:t>
    </w:r>
  </w:p>
  <w:p w14:paraId="6ABA3D5C" w14:textId="5EA6336C" w:rsidR="00026881" w:rsidRDefault="00026881">
    <w:pPr>
      <w:pStyle w:val="Header"/>
    </w:pPr>
    <w:r>
      <w:tab/>
    </w:r>
    <w:r>
      <w:tab/>
      <w:t>1</w:t>
    </w:r>
    <w:r w:rsidR="00D92BC2">
      <w:t>1</w:t>
    </w:r>
    <w:r>
      <w:t>/3</w:t>
    </w:r>
    <w:r w:rsidR="00D92BC2">
      <w:t>0</w:t>
    </w:r>
    <w: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85661"/>
    <w:multiLevelType w:val="hybridMultilevel"/>
    <w:tmpl w:val="D6620D6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11D0E"/>
    <w:multiLevelType w:val="hybridMultilevel"/>
    <w:tmpl w:val="4B80FAA4"/>
    <w:lvl w:ilvl="0" w:tplc="208845F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8A46CD"/>
    <w:multiLevelType w:val="hybridMultilevel"/>
    <w:tmpl w:val="47EA53E8"/>
    <w:lvl w:ilvl="0" w:tplc="9E049C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6467A32"/>
    <w:multiLevelType w:val="hybridMultilevel"/>
    <w:tmpl w:val="9A16CAF0"/>
    <w:lvl w:ilvl="0" w:tplc="1040B43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1082220"/>
    <w:multiLevelType w:val="hybridMultilevel"/>
    <w:tmpl w:val="A906D2C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BAD6D25"/>
    <w:multiLevelType w:val="hybridMultilevel"/>
    <w:tmpl w:val="4950004A"/>
    <w:lvl w:ilvl="0" w:tplc="46A6CD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E46"/>
    <w:rsid w:val="000262C4"/>
    <w:rsid w:val="00026881"/>
    <w:rsid w:val="00081F93"/>
    <w:rsid w:val="000A0CD0"/>
    <w:rsid w:val="000A0F41"/>
    <w:rsid w:val="000C5FDA"/>
    <w:rsid w:val="000D57F2"/>
    <w:rsid w:val="000F4281"/>
    <w:rsid w:val="0016479B"/>
    <w:rsid w:val="002D3394"/>
    <w:rsid w:val="002E6CF5"/>
    <w:rsid w:val="003C7360"/>
    <w:rsid w:val="003D7EFE"/>
    <w:rsid w:val="00412515"/>
    <w:rsid w:val="00415EE6"/>
    <w:rsid w:val="00553A6A"/>
    <w:rsid w:val="00565CB3"/>
    <w:rsid w:val="00570E5A"/>
    <w:rsid w:val="00610168"/>
    <w:rsid w:val="0064576E"/>
    <w:rsid w:val="00747B81"/>
    <w:rsid w:val="00820ADC"/>
    <w:rsid w:val="00822D07"/>
    <w:rsid w:val="00855A52"/>
    <w:rsid w:val="00875269"/>
    <w:rsid w:val="008B0E46"/>
    <w:rsid w:val="00932FAF"/>
    <w:rsid w:val="009E7E35"/>
    <w:rsid w:val="00B02C3A"/>
    <w:rsid w:val="00C47576"/>
    <w:rsid w:val="00C73693"/>
    <w:rsid w:val="00D20865"/>
    <w:rsid w:val="00D92BC2"/>
    <w:rsid w:val="00DB218C"/>
    <w:rsid w:val="00DB6015"/>
    <w:rsid w:val="00E03A6F"/>
    <w:rsid w:val="00EA5B87"/>
    <w:rsid w:val="00F0458F"/>
    <w:rsid w:val="00F74A0B"/>
    <w:rsid w:val="00FD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E388"/>
  <w15:chartTrackingRefBased/>
  <w15:docId w15:val="{4E1C0EE6-F29E-4344-87E0-FDDD126C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E46"/>
    <w:pPr>
      <w:ind w:left="720"/>
      <w:contextualSpacing/>
    </w:pPr>
  </w:style>
  <w:style w:type="paragraph" w:styleId="Header">
    <w:name w:val="header"/>
    <w:basedOn w:val="Normal"/>
    <w:link w:val="HeaderChar"/>
    <w:uiPriority w:val="99"/>
    <w:unhideWhenUsed/>
    <w:rsid w:val="00026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881"/>
  </w:style>
  <w:style w:type="paragraph" w:styleId="Footer">
    <w:name w:val="footer"/>
    <w:basedOn w:val="Normal"/>
    <w:link w:val="FooterChar"/>
    <w:uiPriority w:val="99"/>
    <w:unhideWhenUsed/>
    <w:rsid w:val="00026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881"/>
  </w:style>
  <w:style w:type="table" w:styleId="TableGrid">
    <w:name w:val="Table Grid"/>
    <w:basedOn w:val="TableNormal"/>
    <w:uiPriority w:val="39"/>
    <w:rsid w:val="003D7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177755">
      <w:bodyDiv w:val="1"/>
      <w:marLeft w:val="0"/>
      <w:marRight w:val="0"/>
      <w:marTop w:val="0"/>
      <w:marBottom w:val="0"/>
      <w:divBdr>
        <w:top w:val="none" w:sz="0" w:space="0" w:color="auto"/>
        <w:left w:val="none" w:sz="0" w:space="0" w:color="auto"/>
        <w:bottom w:val="none" w:sz="0" w:space="0" w:color="auto"/>
        <w:right w:val="none" w:sz="0" w:space="0" w:color="auto"/>
      </w:divBdr>
      <w:divsChild>
        <w:div w:id="503789028">
          <w:marLeft w:val="0"/>
          <w:marRight w:val="0"/>
          <w:marTop w:val="0"/>
          <w:marBottom w:val="0"/>
          <w:divBdr>
            <w:top w:val="none" w:sz="0" w:space="0" w:color="auto"/>
            <w:left w:val="none" w:sz="0" w:space="0" w:color="auto"/>
            <w:bottom w:val="single" w:sz="6" w:space="0" w:color="3E3E43"/>
            <w:right w:val="none" w:sz="0" w:space="0" w:color="auto"/>
          </w:divBdr>
          <w:divsChild>
            <w:div w:id="2025982334">
              <w:marLeft w:val="0"/>
              <w:marRight w:val="0"/>
              <w:marTop w:val="0"/>
              <w:marBottom w:val="0"/>
              <w:divBdr>
                <w:top w:val="none" w:sz="0" w:space="0" w:color="auto"/>
                <w:left w:val="none" w:sz="0" w:space="0" w:color="auto"/>
                <w:bottom w:val="none" w:sz="0" w:space="0" w:color="auto"/>
                <w:right w:val="none" w:sz="0" w:space="0" w:color="auto"/>
              </w:divBdr>
            </w:div>
            <w:div w:id="931622206">
              <w:marLeft w:val="0"/>
              <w:marRight w:val="0"/>
              <w:marTop w:val="0"/>
              <w:marBottom w:val="0"/>
              <w:divBdr>
                <w:top w:val="none" w:sz="0" w:space="0" w:color="auto"/>
                <w:left w:val="none" w:sz="0" w:space="0" w:color="auto"/>
                <w:bottom w:val="none" w:sz="0" w:space="0" w:color="auto"/>
                <w:right w:val="none" w:sz="0" w:space="0" w:color="auto"/>
              </w:divBdr>
            </w:div>
          </w:divsChild>
        </w:div>
        <w:div w:id="633634668">
          <w:marLeft w:val="0"/>
          <w:marRight w:val="0"/>
          <w:marTop w:val="0"/>
          <w:marBottom w:val="0"/>
          <w:divBdr>
            <w:top w:val="none" w:sz="0" w:space="0" w:color="auto"/>
            <w:left w:val="none" w:sz="0" w:space="0" w:color="auto"/>
            <w:bottom w:val="single" w:sz="6" w:space="0" w:color="3E3E43"/>
            <w:right w:val="none" w:sz="0" w:space="0" w:color="auto"/>
          </w:divBdr>
          <w:divsChild>
            <w:div w:id="1996369445">
              <w:marLeft w:val="0"/>
              <w:marRight w:val="0"/>
              <w:marTop w:val="0"/>
              <w:marBottom w:val="0"/>
              <w:divBdr>
                <w:top w:val="none" w:sz="0" w:space="0" w:color="auto"/>
                <w:left w:val="none" w:sz="0" w:space="0" w:color="auto"/>
                <w:bottom w:val="none" w:sz="0" w:space="0" w:color="auto"/>
                <w:right w:val="none" w:sz="0" w:space="0" w:color="auto"/>
              </w:divBdr>
            </w:div>
            <w:div w:id="1683127572">
              <w:marLeft w:val="0"/>
              <w:marRight w:val="0"/>
              <w:marTop w:val="0"/>
              <w:marBottom w:val="0"/>
              <w:divBdr>
                <w:top w:val="none" w:sz="0" w:space="0" w:color="auto"/>
                <w:left w:val="none" w:sz="0" w:space="0" w:color="auto"/>
                <w:bottom w:val="none" w:sz="0" w:space="0" w:color="auto"/>
                <w:right w:val="none" w:sz="0" w:space="0" w:color="auto"/>
              </w:divBdr>
            </w:div>
          </w:divsChild>
        </w:div>
        <w:div w:id="1782602790">
          <w:marLeft w:val="0"/>
          <w:marRight w:val="0"/>
          <w:marTop w:val="0"/>
          <w:marBottom w:val="0"/>
          <w:divBdr>
            <w:top w:val="none" w:sz="0" w:space="0" w:color="auto"/>
            <w:left w:val="none" w:sz="0" w:space="0" w:color="auto"/>
            <w:bottom w:val="single" w:sz="6" w:space="0" w:color="3E3E43"/>
            <w:right w:val="none" w:sz="0" w:space="0" w:color="auto"/>
          </w:divBdr>
          <w:divsChild>
            <w:div w:id="1931965721">
              <w:marLeft w:val="0"/>
              <w:marRight w:val="0"/>
              <w:marTop w:val="0"/>
              <w:marBottom w:val="0"/>
              <w:divBdr>
                <w:top w:val="none" w:sz="0" w:space="0" w:color="auto"/>
                <w:left w:val="none" w:sz="0" w:space="0" w:color="auto"/>
                <w:bottom w:val="none" w:sz="0" w:space="0" w:color="auto"/>
                <w:right w:val="none" w:sz="0" w:space="0" w:color="auto"/>
              </w:divBdr>
            </w:div>
            <w:div w:id="1943610176">
              <w:marLeft w:val="0"/>
              <w:marRight w:val="0"/>
              <w:marTop w:val="0"/>
              <w:marBottom w:val="0"/>
              <w:divBdr>
                <w:top w:val="none" w:sz="0" w:space="0" w:color="auto"/>
                <w:left w:val="none" w:sz="0" w:space="0" w:color="auto"/>
                <w:bottom w:val="none" w:sz="0" w:space="0" w:color="auto"/>
                <w:right w:val="none" w:sz="0" w:space="0" w:color="auto"/>
              </w:divBdr>
            </w:div>
          </w:divsChild>
        </w:div>
        <w:div w:id="1262688416">
          <w:marLeft w:val="0"/>
          <w:marRight w:val="0"/>
          <w:marTop w:val="0"/>
          <w:marBottom w:val="0"/>
          <w:divBdr>
            <w:top w:val="none" w:sz="0" w:space="0" w:color="auto"/>
            <w:left w:val="none" w:sz="0" w:space="0" w:color="auto"/>
            <w:bottom w:val="single" w:sz="6" w:space="0" w:color="3E3E43"/>
            <w:right w:val="none" w:sz="0" w:space="0" w:color="auto"/>
          </w:divBdr>
          <w:divsChild>
            <w:div w:id="891578499">
              <w:marLeft w:val="0"/>
              <w:marRight w:val="0"/>
              <w:marTop w:val="0"/>
              <w:marBottom w:val="0"/>
              <w:divBdr>
                <w:top w:val="none" w:sz="0" w:space="0" w:color="auto"/>
                <w:left w:val="none" w:sz="0" w:space="0" w:color="auto"/>
                <w:bottom w:val="none" w:sz="0" w:space="0" w:color="auto"/>
                <w:right w:val="none" w:sz="0" w:space="0" w:color="auto"/>
              </w:divBdr>
            </w:div>
            <w:div w:id="407658898">
              <w:marLeft w:val="0"/>
              <w:marRight w:val="0"/>
              <w:marTop w:val="0"/>
              <w:marBottom w:val="0"/>
              <w:divBdr>
                <w:top w:val="none" w:sz="0" w:space="0" w:color="auto"/>
                <w:left w:val="none" w:sz="0" w:space="0" w:color="auto"/>
                <w:bottom w:val="none" w:sz="0" w:space="0" w:color="auto"/>
                <w:right w:val="none" w:sz="0" w:space="0" w:color="auto"/>
              </w:divBdr>
            </w:div>
          </w:divsChild>
        </w:div>
        <w:div w:id="2076540675">
          <w:marLeft w:val="0"/>
          <w:marRight w:val="0"/>
          <w:marTop w:val="0"/>
          <w:marBottom w:val="0"/>
          <w:divBdr>
            <w:top w:val="none" w:sz="0" w:space="0" w:color="auto"/>
            <w:left w:val="none" w:sz="0" w:space="0" w:color="auto"/>
            <w:bottom w:val="single" w:sz="6" w:space="0" w:color="3E3E43"/>
            <w:right w:val="none" w:sz="0" w:space="0" w:color="auto"/>
          </w:divBdr>
          <w:divsChild>
            <w:div w:id="1090538557">
              <w:marLeft w:val="0"/>
              <w:marRight w:val="0"/>
              <w:marTop w:val="0"/>
              <w:marBottom w:val="0"/>
              <w:divBdr>
                <w:top w:val="none" w:sz="0" w:space="0" w:color="auto"/>
                <w:left w:val="none" w:sz="0" w:space="0" w:color="auto"/>
                <w:bottom w:val="none" w:sz="0" w:space="0" w:color="auto"/>
                <w:right w:val="none" w:sz="0" w:space="0" w:color="auto"/>
              </w:divBdr>
            </w:div>
            <w:div w:id="1615138356">
              <w:marLeft w:val="0"/>
              <w:marRight w:val="0"/>
              <w:marTop w:val="0"/>
              <w:marBottom w:val="0"/>
              <w:divBdr>
                <w:top w:val="none" w:sz="0" w:space="0" w:color="auto"/>
                <w:left w:val="none" w:sz="0" w:space="0" w:color="auto"/>
                <w:bottom w:val="none" w:sz="0" w:space="0" w:color="auto"/>
                <w:right w:val="none" w:sz="0" w:space="0" w:color="auto"/>
              </w:divBdr>
            </w:div>
          </w:divsChild>
        </w:div>
        <w:div w:id="783234667">
          <w:marLeft w:val="0"/>
          <w:marRight w:val="0"/>
          <w:marTop w:val="0"/>
          <w:marBottom w:val="0"/>
          <w:divBdr>
            <w:top w:val="none" w:sz="0" w:space="0" w:color="auto"/>
            <w:left w:val="none" w:sz="0" w:space="0" w:color="auto"/>
            <w:bottom w:val="single" w:sz="6" w:space="0" w:color="3E3E43"/>
            <w:right w:val="none" w:sz="0" w:space="0" w:color="auto"/>
          </w:divBdr>
          <w:divsChild>
            <w:div w:id="1097482525">
              <w:marLeft w:val="0"/>
              <w:marRight w:val="0"/>
              <w:marTop w:val="0"/>
              <w:marBottom w:val="0"/>
              <w:divBdr>
                <w:top w:val="none" w:sz="0" w:space="0" w:color="auto"/>
                <w:left w:val="none" w:sz="0" w:space="0" w:color="auto"/>
                <w:bottom w:val="none" w:sz="0" w:space="0" w:color="auto"/>
                <w:right w:val="none" w:sz="0" w:space="0" w:color="auto"/>
              </w:divBdr>
            </w:div>
            <w:div w:id="202401323">
              <w:marLeft w:val="0"/>
              <w:marRight w:val="0"/>
              <w:marTop w:val="0"/>
              <w:marBottom w:val="0"/>
              <w:divBdr>
                <w:top w:val="none" w:sz="0" w:space="0" w:color="auto"/>
                <w:left w:val="none" w:sz="0" w:space="0" w:color="auto"/>
                <w:bottom w:val="none" w:sz="0" w:space="0" w:color="auto"/>
                <w:right w:val="none" w:sz="0" w:space="0" w:color="auto"/>
              </w:divBdr>
            </w:div>
          </w:divsChild>
        </w:div>
        <w:div w:id="2112243314">
          <w:marLeft w:val="0"/>
          <w:marRight w:val="0"/>
          <w:marTop w:val="0"/>
          <w:marBottom w:val="0"/>
          <w:divBdr>
            <w:top w:val="none" w:sz="0" w:space="0" w:color="auto"/>
            <w:left w:val="none" w:sz="0" w:space="0" w:color="auto"/>
            <w:bottom w:val="single" w:sz="6" w:space="0" w:color="3E3E43"/>
            <w:right w:val="none" w:sz="0" w:space="0" w:color="auto"/>
          </w:divBdr>
          <w:divsChild>
            <w:div w:id="940920634">
              <w:marLeft w:val="0"/>
              <w:marRight w:val="0"/>
              <w:marTop w:val="0"/>
              <w:marBottom w:val="0"/>
              <w:divBdr>
                <w:top w:val="none" w:sz="0" w:space="0" w:color="auto"/>
                <w:left w:val="none" w:sz="0" w:space="0" w:color="auto"/>
                <w:bottom w:val="none" w:sz="0" w:space="0" w:color="auto"/>
                <w:right w:val="none" w:sz="0" w:space="0" w:color="auto"/>
              </w:divBdr>
            </w:div>
            <w:div w:id="27688145">
              <w:marLeft w:val="0"/>
              <w:marRight w:val="0"/>
              <w:marTop w:val="0"/>
              <w:marBottom w:val="0"/>
              <w:divBdr>
                <w:top w:val="none" w:sz="0" w:space="0" w:color="auto"/>
                <w:left w:val="none" w:sz="0" w:space="0" w:color="auto"/>
                <w:bottom w:val="none" w:sz="0" w:space="0" w:color="auto"/>
                <w:right w:val="none" w:sz="0" w:space="0" w:color="auto"/>
              </w:divBdr>
            </w:div>
          </w:divsChild>
        </w:div>
        <w:div w:id="1617518206">
          <w:marLeft w:val="0"/>
          <w:marRight w:val="0"/>
          <w:marTop w:val="0"/>
          <w:marBottom w:val="0"/>
          <w:divBdr>
            <w:top w:val="none" w:sz="0" w:space="0" w:color="auto"/>
            <w:left w:val="none" w:sz="0" w:space="0" w:color="auto"/>
            <w:bottom w:val="single" w:sz="6" w:space="0" w:color="3E3E43"/>
            <w:right w:val="none" w:sz="0" w:space="0" w:color="auto"/>
          </w:divBdr>
          <w:divsChild>
            <w:div w:id="615211510">
              <w:marLeft w:val="0"/>
              <w:marRight w:val="0"/>
              <w:marTop w:val="0"/>
              <w:marBottom w:val="0"/>
              <w:divBdr>
                <w:top w:val="none" w:sz="0" w:space="0" w:color="auto"/>
                <w:left w:val="none" w:sz="0" w:space="0" w:color="auto"/>
                <w:bottom w:val="none" w:sz="0" w:space="0" w:color="auto"/>
                <w:right w:val="none" w:sz="0" w:space="0" w:color="auto"/>
              </w:divBdr>
            </w:div>
            <w:div w:id="823467226">
              <w:marLeft w:val="0"/>
              <w:marRight w:val="0"/>
              <w:marTop w:val="0"/>
              <w:marBottom w:val="0"/>
              <w:divBdr>
                <w:top w:val="none" w:sz="0" w:space="0" w:color="auto"/>
                <w:left w:val="none" w:sz="0" w:space="0" w:color="auto"/>
                <w:bottom w:val="none" w:sz="0" w:space="0" w:color="auto"/>
                <w:right w:val="none" w:sz="0" w:space="0" w:color="auto"/>
              </w:divBdr>
            </w:div>
          </w:divsChild>
        </w:div>
        <w:div w:id="1019238676">
          <w:marLeft w:val="0"/>
          <w:marRight w:val="0"/>
          <w:marTop w:val="0"/>
          <w:marBottom w:val="0"/>
          <w:divBdr>
            <w:top w:val="none" w:sz="0" w:space="0" w:color="auto"/>
            <w:left w:val="none" w:sz="0" w:space="0" w:color="auto"/>
            <w:bottom w:val="single" w:sz="6" w:space="0" w:color="3E3E43"/>
            <w:right w:val="none" w:sz="0" w:space="0" w:color="auto"/>
          </w:divBdr>
          <w:divsChild>
            <w:div w:id="738329323">
              <w:marLeft w:val="0"/>
              <w:marRight w:val="0"/>
              <w:marTop w:val="0"/>
              <w:marBottom w:val="0"/>
              <w:divBdr>
                <w:top w:val="none" w:sz="0" w:space="0" w:color="auto"/>
                <w:left w:val="none" w:sz="0" w:space="0" w:color="auto"/>
                <w:bottom w:val="none" w:sz="0" w:space="0" w:color="auto"/>
                <w:right w:val="none" w:sz="0" w:space="0" w:color="auto"/>
              </w:divBdr>
            </w:div>
            <w:div w:id="2128544813">
              <w:marLeft w:val="0"/>
              <w:marRight w:val="0"/>
              <w:marTop w:val="0"/>
              <w:marBottom w:val="0"/>
              <w:divBdr>
                <w:top w:val="none" w:sz="0" w:space="0" w:color="auto"/>
                <w:left w:val="none" w:sz="0" w:space="0" w:color="auto"/>
                <w:bottom w:val="none" w:sz="0" w:space="0" w:color="auto"/>
                <w:right w:val="none" w:sz="0" w:space="0" w:color="auto"/>
              </w:divBdr>
            </w:div>
          </w:divsChild>
        </w:div>
        <w:div w:id="2007781211">
          <w:marLeft w:val="0"/>
          <w:marRight w:val="0"/>
          <w:marTop w:val="0"/>
          <w:marBottom w:val="0"/>
          <w:divBdr>
            <w:top w:val="none" w:sz="0" w:space="0" w:color="auto"/>
            <w:left w:val="none" w:sz="0" w:space="0" w:color="auto"/>
            <w:bottom w:val="single" w:sz="6" w:space="0" w:color="3E3E43"/>
            <w:right w:val="none" w:sz="0" w:space="0" w:color="auto"/>
          </w:divBdr>
          <w:divsChild>
            <w:div w:id="1907953705">
              <w:marLeft w:val="0"/>
              <w:marRight w:val="0"/>
              <w:marTop w:val="0"/>
              <w:marBottom w:val="0"/>
              <w:divBdr>
                <w:top w:val="none" w:sz="0" w:space="0" w:color="auto"/>
                <w:left w:val="none" w:sz="0" w:space="0" w:color="auto"/>
                <w:bottom w:val="none" w:sz="0" w:space="0" w:color="auto"/>
                <w:right w:val="none" w:sz="0" w:space="0" w:color="auto"/>
              </w:divBdr>
            </w:div>
            <w:div w:id="1957788810">
              <w:marLeft w:val="0"/>
              <w:marRight w:val="0"/>
              <w:marTop w:val="0"/>
              <w:marBottom w:val="0"/>
              <w:divBdr>
                <w:top w:val="none" w:sz="0" w:space="0" w:color="auto"/>
                <w:left w:val="none" w:sz="0" w:space="0" w:color="auto"/>
                <w:bottom w:val="none" w:sz="0" w:space="0" w:color="auto"/>
                <w:right w:val="none" w:sz="0" w:space="0" w:color="auto"/>
              </w:divBdr>
            </w:div>
          </w:divsChild>
        </w:div>
        <w:div w:id="1767576102">
          <w:marLeft w:val="0"/>
          <w:marRight w:val="0"/>
          <w:marTop w:val="0"/>
          <w:marBottom w:val="0"/>
          <w:divBdr>
            <w:top w:val="none" w:sz="0" w:space="0" w:color="auto"/>
            <w:left w:val="none" w:sz="0" w:space="0" w:color="auto"/>
            <w:bottom w:val="single" w:sz="6" w:space="0" w:color="3E3E43"/>
            <w:right w:val="none" w:sz="0" w:space="0" w:color="auto"/>
          </w:divBdr>
          <w:divsChild>
            <w:div w:id="80958746">
              <w:marLeft w:val="0"/>
              <w:marRight w:val="0"/>
              <w:marTop w:val="0"/>
              <w:marBottom w:val="0"/>
              <w:divBdr>
                <w:top w:val="none" w:sz="0" w:space="0" w:color="auto"/>
                <w:left w:val="none" w:sz="0" w:space="0" w:color="auto"/>
                <w:bottom w:val="none" w:sz="0" w:space="0" w:color="auto"/>
                <w:right w:val="none" w:sz="0" w:space="0" w:color="auto"/>
              </w:divBdr>
            </w:div>
            <w:div w:id="1469591278">
              <w:marLeft w:val="0"/>
              <w:marRight w:val="0"/>
              <w:marTop w:val="0"/>
              <w:marBottom w:val="0"/>
              <w:divBdr>
                <w:top w:val="none" w:sz="0" w:space="0" w:color="auto"/>
                <w:left w:val="none" w:sz="0" w:space="0" w:color="auto"/>
                <w:bottom w:val="none" w:sz="0" w:space="0" w:color="auto"/>
                <w:right w:val="none" w:sz="0" w:space="0" w:color="auto"/>
              </w:divBdr>
            </w:div>
          </w:divsChild>
        </w:div>
        <w:div w:id="1463233401">
          <w:marLeft w:val="0"/>
          <w:marRight w:val="0"/>
          <w:marTop w:val="0"/>
          <w:marBottom w:val="0"/>
          <w:divBdr>
            <w:top w:val="none" w:sz="0" w:space="0" w:color="auto"/>
            <w:left w:val="none" w:sz="0" w:space="0" w:color="auto"/>
            <w:bottom w:val="single" w:sz="6" w:space="0" w:color="3E3E43"/>
            <w:right w:val="none" w:sz="0" w:space="0" w:color="auto"/>
          </w:divBdr>
          <w:divsChild>
            <w:div w:id="1085690618">
              <w:marLeft w:val="0"/>
              <w:marRight w:val="0"/>
              <w:marTop w:val="0"/>
              <w:marBottom w:val="0"/>
              <w:divBdr>
                <w:top w:val="none" w:sz="0" w:space="0" w:color="auto"/>
                <w:left w:val="none" w:sz="0" w:space="0" w:color="auto"/>
                <w:bottom w:val="none" w:sz="0" w:space="0" w:color="auto"/>
                <w:right w:val="none" w:sz="0" w:space="0" w:color="auto"/>
              </w:divBdr>
            </w:div>
            <w:div w:id="1727558319">
              <w:marLeft w:val="0"/>
              <w:marRight w:val="0"/>
              <w:marTop w:val="0"/>
              <w:marBottom w:val="0"/>
              <w:divBdr>
                <w:top w:val="none" w:sz="0" w:space="0" w:color="auto"/>
                <w:left w:val="none" w:sz="0" w:space="0" w:color="auto"/>
                <w:bottom w:val="none" w:sz="0" w:space="0" w:color="auto"/>
                <w:right w:val="none" w:sz="0" w:space="0" w:color="auto"/>
              </w:divBdr>
            </w:div>
          </w:divsChild>
        </w:div>
        <w:div w:id="1498887433">
          <w:marLeft w:val="0"/>
          <w:marRight w:val="0"/>
          <w:marTop w:val="0"/>
          <w:marBottom w:val="0"/>
          <w:divBdr>
            <w:top w:val="none" w:sz="0" w:space="0" w:color="auto"/>
            <w:left w:val="none" w:sz="0" w:space="0" w:color="auto"/>
            <w:bottom w:val="single" w:sz="6" w:space="0" w:color="3E3E43"/>
            <w:right w:val="none" w:sz="0" w:space="0" w:color="auto"/>
          </w:divBdr>
          <w:divsChild>
            <w:div w:id="1368722763">
              <w:marLeft w:val="0"/>
              <w:marRight w:val="0"/>
              <w:marTop w:val="0"/>
              <w:marBottom w:val="0"/>
              <w:divBdr>
                <w:top w:val="none" w:sz="0" w:space="0" w:color="auto"/>
                <w:left w:val="none" w:sz="0" w:space="0" w:color="auto"/>
                <w:bottom w:val="none" w:sz="0" w:space="0" w:color="auto"/>
                <w:right w:val="none" w:sz="0" w:space="0" w:color="auto"/>
              </w:divBdr>
            </w:div>
            <w:div w:id="264269904">
              <w:marLeft w:val="0"/>
              <w:marRight w:val="0"/>
              <w:marTop w:val="0"/>
              <w:marBottom w:val="0"/>
              <w:divBdr>
                <w:top w:val="none" w:sz="0" w:space="0" w:color="auto"/>
                <w:left w:val="none" w:sz="0" w:space="0" w:color="auto"/>
                <w:bottom w:val="none" w:sz="0" w:space="0" w:color="auto"/>
                <w:right w:val="none" w:sz="0" w:space="0" w:color="auto"/>
              </w:divBdr>
            </w:div>
          </w:divsChild>
        </w:div>
        <w:div w:id="345063553">
          <w:marLeft w:val="0"/>
          <w:marRight w:val="0"/>
          <w:marTop w:val="0"/>
          <w:marBottom w:val="0"/>
          <w:divBdr>
            <w:top w:val="none" w:sz="0" w:space="0" w:color="auto"/>
            <w:left w:val="none" w:sz="0" w:space="0" w:color="auto"/>
            <w:bottom w:val="single" w:sz="6" w:space="0" w:color="3E3E43"/>
            <w:right w:val="none" w:sz="0" w:space="0" w:color="auto"/>
          </w:divBdr>
          <w:divsChild>
            <w:div w:id="686714059">
              <w:marLeft w:val="0"/>
              <w:marRight w:val="0"/>
              <w:marTop w:val="0"/>
              <w:marBottom w:val="0"/>
              <w:divBdr>
                <w:top w:val="none" w:sz="0" w:space="0" w:color="auto"/>
                <w:left w:val="none" w:sz="0" w:space="0" w:color="auto"/>
                <w:bottom w:val="none" w:sz="0" w:space="0" w:color="auto"/>
                <w:right w:val="none" w:sz="0" w:space="0" w:color="auto"/>
              </w:divBdr>
            </w:div>
            <w:div w:id="1241402831">
              <w:marLeft w:val="0"/>
              <w:marRight w:val="0"/>
              <w:marTop w:val="0"/>
              <w:marBottom w:val="0"/>
              <w:divBdr>
                <w:top w:val="none" w:sz="0" w:space="0" w:color="auto"/>
                <w:left w:val="none" w:sz="0" w:space="0" w:color="auto"/>
                <w:bottom w:val="none" w:sz="0" w:space="0" w:color="auto"/>
                <w:right w:val="none" w:sz="0" w:space="0" w:color="auto"/>
              </w:divBdr>
            </w:div>
          </w:divsChild>
        </w:div>
        <w:div w:id="611940354">
          <w:marLeft w:val="0"/>
          <w:marRight w:val="0"/>
          <w:marTop w:val="0"/>
          <w:marBottom w:val="0"/>
          <w:divBdr>
            <w:top w:val="none" w:sz="0" w:space="0" w:color="auto"/>
            <w:left w:val="none" w:sz="0" w:space="0" w:color="auto"/>
            <w:bottom w:val="single" w:sz="6" w:space="0" w:color="3E3E43"/>
            <w:right w:val="none" w:sz="0" w:space="0" w:color="auto"/>
          </w:divBdr>
          <w:divsChild>
            <w:div w:id="779178565">
              <w:marLeft w:val="0"/>
              <w:marRight w:val="0"/>
              <w:marTop w:val="0"/>
              <w:marBottom w:val="0"/>
              <w:divBdr>
                <w:top w:val="none" w:sz="0" w:space="0" w:color="auto"/>
                <w:left w:val="none" w:sz="0" w:space="0" w:color="auto"/>
                <w:bottom w:val="none" w:sz="0" w:space="0" w:color="auto"/>
                <w:right w:val="none" w:sz="0" w:space="0" w:color="auto"/>
              </w:divBdr>
            </w:div>
            <w:div w:id="925380776">
              <w:marLeft w:val="0"/>
              <w:marRight w:val="0"/>
              <w:marTop w:val="0"/>
              <w:marBottom w:val="0"/>
              <w:divBdr>
                <w:top w:val="none" w:sz="0" w:space="0" w:color="auto"/>
                <w:left w:val="none" w:sz="0" w:space="0" w:color="auto"/>
                <w:bottom w:val="none" w:sz="0" w:space="0" w:color="auto"/>
                <w:right w:val="none" w:sz="0" w:space="0" w:color="auto"/>
              </w:divBdr>
            </w:div>
          </w:divsChild>
        </w:div>
        <w:div w:id="2005817620">
          <w:marLeft w:val="0"/>
          <w:marRight w:val="0"/>
          <w:marTop w:val="0"/>
          <w:marBottom w:val="0"/>
          <w:divBdr>
            <w:top w:val="none" w:sz="0" w:space="0" w:color="auto"/>
            <w:left w:val="none" w:sz="0" w:space="0" w:color="auto"/>
            <w:bottom w:val="single" w:sz="6" w:space="0" w:color="3E3E43"/>
            <w:right w:val="none" w:sz="0" w:space="0" w:color="auto"/>
          </w:divBdr>
          <w:divsChild>
            <w:div w:id="144056134">
              <w:marLeft w:val="0"/>
              <w:marRight w:val="0"/>
              <w:marTop w:val="0"/>
              <w:marBottom w:val="0"/>
              <w:divBdr>
                <w:top w:val="none" w:sz="0" w:space="0" w:color="auto"/>
                <w:left w:val="none" w:sz="0" w:space="0" w:color="auto"/>
                <w:bottom w:val="none" w:sz="0" w:space="0" w:color="auto"/>
                <w:right w:val="none" w:sz="0" w:space="0" w:color="auto"/>
              </w:divBdr>
            </w:div>
            <w:div w:id="1278291644">
              <w:marLeft w:val="0"/>
              <w:marRight w:val="0"/>
              <w:marTop w:val="0"/>
              <w:marBottom w:val="0"/>
              <w:divBdr>
                <w:top w:val="none" w:sz="0" w:space="0" w:color="auto"/>
                <w:left w:val="none" w:sz="0" w:space="0" w:color="auto"/>
                <w:bottom w:val="none" w:sz="0" w:space="0" w:color="auto"/>
                <w:right w:val="none" w:sz="0" w:space="0" w:color="auto"/>
              </w:divBdr>
            </w:div>
          </w:divsChild>
        </w:div>
        <w:div w:id="530534814">
          <w:marLeft w:val="0"/>
          <w:marRight w:val="0"/>
          <w:marTop w:val="0"/>
          <w:marBottom w:val="0"/>
          <w:divBdr>
            <w:top w:val="none" w:sz="0" w:space="0" w:color="auto"/>
            <w:left w:val="none" w:sz="0" w:space="0" w:color="auto"/>
            <w:bottom w:val="single" w:sz="6" w:space="0" w:color="3E3E43"/>
            <w:right w:val="none" w:sz="0" w:space="0" w:color="auto"/>
          </w:divBdr>
          <w:divsChild>
            <w:div w:id="19088342">
              <w:marLeft w:val="0"/>
              <w:marRight w:val="0"/>
              <w:marTop w:val="0"/>
              <w:marBottom w:val="0"/>
              <w:divBdr>
                <w:top w:val="none" w:sz="0" w:space="0" w:color="auto"/>
                <w:left w:val="none" w:sz="0" w:space="0" w:color="auto"/>
                <w:bottom w:val="none" w:sz="0" w:space="0" w:color="auto"/>
                <w:right w:val="none" w:sz="0" w:space="0" w:color="auto"/>
              </w:divBdr>
            </w:div>
            <w:div w:id="1911306755">
              <w:marLeft w:val="0"/>
              <w:marRight w:val="0"/>
              <w:marTop w:val="0"/>
              <w:marBottom w:val="0"/>
              <w:divBdr>
                <w:top w:val="none" w:sz="0" w:space="0" w:color="auto"/>
                <w:left w:val="none" w:sz="0" w:space="0" w:color="auto"/>
                <w:bottom w:val="none" w:sz="0" w:space="0" w:color="auto"/>
                <w:right w:val="none" w:sz="0" w:space="0" w:color="auto"/>
              </w:divBdr>
            </w:div>
          </w:divsChild>
        </w:div>
        <w:div w:id="16004108">
          <w:marLeft w:val="0"/>
          <w:marRight w:val="0"/>
          <w:marTop w:val="0"/>
          <w:marBottom w:val="0"/>
          <w:divBdr>
            <w:top w:val="none" w:sz="0" w:space="0" w:color="auto"/>
            <w:left w:val="none" w:sz="0" w:space="0" w:color="auto"/>
            <w:bottom w:val="single" w:sz="6" w:space="0" w:color="3E3E43"/>
            <w:right w:val="none" w:sz="0" w:space="0" w:color="auto"/>
          </w:divBdr>
          <w:divsChild>
            <w:div w:id="889875722">
              <w:marLeft w:val="0"/>
              <w:marRight w:val="0"/>
              <w:marTop w:val="0"/>
              <w:marBottom w:val="0"/>
              <w:divBdr>
                <w:top w:val="none" w:sz="0" w:space="0" w:color="auto"/>
                <w:left w:val="none" w:sz="0" w:space="0" w:color="auto"/>
                <w:bottom w:val="none" w:sz="0" w:space="0" w:color="auto"/>
                <w:right w:val="none" w:sz="0" w:space="0" w:color="auto"/>
              </w:divBdr>
            </w:div>
            <w:div w:id="906720141">
              <w:marLeft w:val="0"/>
              <w:marRight w:val="0"/>
              <w:marTop w:val="0"/>
              <w:marBottom w:val="0"/>
              <w:divBdr>
                <w:top w:val="none" w:sz="0" w:space="0" w:color="auto"/>
                <w:left w:val="none" w:sz="0" w:space="0" w:color="auto"/>
                <w:bottom w:val="none" w:sz="0" w:space="0" w:color="auto"/>
                <w:right w:val="none" w:sz="0" w:space="0" w:color="auto"/>
              </w:divBdr>
            </w:div>
          </w:divsChild>
        </w:div>
        <w:div w:id="1799642523">
          <w:marLeft w:val="0"/>
          <w:marRight w:val="0"/>
          <w:marTop w:val="0"/>
          <w:marBottom w:val="0"/>
          <w:divBdr>
            <w:top w:val="none" w:sz="0" w:space="0" w:color="auto"/>
            <w:left w:val="none" w:sz="0" w:space="0" w:color="auto"/>
            <w:bottom w:val="single" w:sz="6" w:space="0" w:color="3E3E43"/>
            <w:right w:val="none" w:sz="0" w:space="0" w:color="auto"/>
          </w:divBdr>
          <w:divsChild>
            <w:div w:id="1492405726">
              <w:marLeft w:val="0"/>
              <w:marRight w:val="0"/>
              <w:marTop w:val="0"/>
              <w:marBottom w:val="0"/>
              <w:divBdr>
                <w:top w:val="none" w:sz="0" w:space="0" w:color="auto"/>
                <w:left w:val="none" w:sz="0" w:space="0" w:color="auto"/>
                <w:bottom w:val="none" w:sz="0" w:space="0" w:color="auto"/>
                <w:right w:val="none" w:sz="0" w:space="0" w:color="auto"/>
              </w:divBdr>
            </w:div>
            <w:div w:id="1719432963">
              <w:marLeft w:val="0"/>
              <w:marRight w:val="0"/>
              <w:marTop w:val="0"/>
              <w:marBottom w:val="0"/>
              <w:divBdr>
                <w:top w:val="none" w:sz="0" w:space="0" w:color="auto"/>
                <w:left w:val="none" w:sz="0" w:space="0" w:color="auto"/>
                <w:bottom w:val="none" w:sz="0" w:space="0" w:color="auto"/>
                <w:right w:val="none" w:sz="0" w:space="0" w:color="auto"/>
              </w:divBdr>
            </w:div>
          </w:divsChild>
        </w:div>
        <w:div w:id="1518959692">
          <w:marLeft w:val="0"/>
          <w:marRight w:val="0"/>
          <w:marTop w:val="0"/>
          <w:marBottom w:val="0"/>
          <w:divBdr>
            <w:top w:val="none" w:sz="0" w:space="0" w:color="auto"/>
            <w:left w:val="none" w:sz="0" w:space="0" w:color="auto"/>
            <w:bottom w:val="none" w:sz="0" w:space="0" w:color="auto"/>
            <w:right w:val="none" w:sz="0" w:space="0" w:color="auto"/>
          </w:divBdr>
          <w:divsChild>
            <w:div w:id="931162611">
              <w:marLeft w:val="0"/>
              <w:marRight w:val="0"/>
              <w:marTop w:val="0"/>
              <w:marBottom w:val="0"/>
              <w:divBdr>
                <w:top w:val="none" w:sz="0" w:space="0" w:color="auto"/>
                <w:left w:val="none" w:sz="0" w:space="0" w:color="auto"/>
                <w:bottom w:val="none" w:sz="0" w:space="0" w:color="auto"/>
                <w:right w:val="none" w:sz="0" w:space="0" w:color="auto"/>
              </w:divBdr>
            </w:div>
            <w:div w:id="9832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15</Pages>
  <Words>1442</Words>
  <Characters>8223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Solorzano</dc:creator>
  <cp:keywords/>
  <dc:description/>
  <cp:lastModifiedBy>Oliver Solorzano</cp:lastModifiedBy>
  <cp:revision>10</cp:revision>
  <dcterms:created xsi:type="dcterms:W3CDTF">2020-10-31T19:06:00Z</dcterms:created>
  <dcterms:modified xsi:type="dcterms:W3CDTF">2020-12-02T05:40:00Z</dcterms:modified>
</cp:coreProperties>
</file>