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76D1" w14:textId="5E9E299C" w:rsidR="006F2C9B" w:rsidRDefault="006F2C9B">
      <w:r>
        <w:t>OAS Algorithm #2 – Reallocation Strategy</w:t>
      </w:r>
    </w:p>
    <w:p w14:paraId="2E09845F" w14:textId="140A9FC1" w:rsidR="00464825" w:rsidRDefault="004D704E">
      <w:r>
        <w:t>Theory:</w:t>
      </w:r>
    </w:p>
    <w:p w14:paraId="3E2804F5" w14:textId="35D90268" w:rsidR="00C12CC0" w:rsidRDefault="00C12CC0">
      <w:r>
        <w:tab/>
        <w:t xml:space="preserve">Unlike the previous volatility algorithm, this reallocation strategy is based on riding momentum of a strongly performing equity. In theory, a strongly moving trend is likely to continue and the objective is to continuously shift </w:t>
      </w:r>
      <w:r w:rsidR="005E599D">
        <w:t xml:space="preserve">capital </w:t>
      </w:r>
      <w:r>
        <w:t>to ride the strongest trend in any given universe of stocks (3x leverage ETFs). By nature, this strategy should be more passive in the sense that reallocation will only occur based on a set time frame. Given that the client would only like to make 2-3 trades a month, performance analysis and reallocation will be set to a bi-weekly basis.</w:t>
      </w:r>
    </w:p>
    <w:p w14:paraId="2052F9AE" w14:textId="77777777" w:rsidR="004D704E" w:rsidRDefault="004D704E">
      <w:r>
        <w:t>Method:</w:t>
      </w:r>
    </w:p>
    <w:p w14:paraId="2A415769" w14:textId="77777777" w:rsidR="00C12CC0" w:rsidRDefault="00C12CC0">
      <w:r>
        <w:tab/>
      </w:r>
      <w:r w:rsidR="002A3E51">
        <w:t xml:space="preserve">Four equities from the 3x leverage ETF Universe will be added/set to variables in order to pull data and execute performance analysis. </w:t>
      </w:r>
      <w:r>
        <w:t xml:space="preserve"> </w:t>
      </w:r>
      <w:r w:rsidR="002A3E51">
        <w:t>This analysis and any subsequent market action will occur in a reallocation function which will be called on a scheduled basis. Equity performance will be measured by a simple ratio (current price/last price). This ratio will serve as input for conditional statements/comparisons. The equity with the highest ratio will be purchased (if not already), and all other positions will be closed. For consistency, this algorithm will be back-tested 10 years to match the conditions of the first algorithm. Results will be compared to benchmarks set by a simple buy and hold strategy for the same universe of equities.</w:t>
      </w:r>
      <w:r w:rsidR="00783C44">
        <w:t xml:space="preserve"> (TQQ = 8466%, UDOW=1382%, UPRO=2809%, URTY=465%)</w:t>
      </w:r>
    </w:p>
    <w:p w14:paraId="27C330C3" w14:textId="77777777" w:rsidR="004D704E" w:rsidRDefault="004D704E">
      <w:proofErr w:type="gramStart"/>
      <w:r>
        <w:t>1 .</w:t>
      </w:r>
      <w:proofErr w:type="gramEnd"/>
      <w:r>
        <w:t xml:space="preserve"> First Iteration</w:t>
      </w:r>
    </w:p>
    <w:p w14:paraId="0632659C" w14:textId="77777777" w:rsidR="002A3E51" w:rsidRDefault="002A3E51" w:rsidP="002A3E51">
      <w:pPr>
        <w:pStyle w:val="ListParagraph"/>
        <w:numPr>
          <w:ilvl w:val="0"/>
          <w:numId w:val="1"/>
        </w:numPr>
      </w:pPr>
      <w:r>
        <w:t>Hypothesis</w:t>
      </w:r>
    </w:p>
    <w:p w14:paraId="5670D10F" w14:textId="77777777" w:rsidR="002A3E51" w:rsidRDefault="002A3E51" w:rsidP="00783C44">
      <w:pPr>
        <w:ind w:firstLine="360"/>
      </w:pPr>
      <w:r>
        <w:t xml:space="preserve">Switching to ride the momentum of the top performing equity, should ensure that </w:t>
      </w:r>
      <w:r w:rsidR="00783C44">
        <w:t xml:space="preserve">the optimal position is always being held, thus outperforming a simple hold strategy, which suffers during rotational periods and downtrends in specific sectors. </w:t>
      </w:r>
    </w:p>
    <w:p w14:paraId="41111FEA" w14:textId="77777777" w:rsidR="002A3E51" w:rsidRDefault="002A3E51" w:rsidP="002A3E51">
      <w:pPr>
        <w:pStyle w:val="ListParagraph"/>
        <w:numPr>
          <w:ilvl w:val="0"/>
          <w:numId w:val="1"/>
        </w:numPr>
      </w:pPr>
      <w:r>
        <w:t>Implementation</w:t>
      </w:r>
    </w:p>
    <w:p w14:paraId="49022A53" w14:textId="77777777" w:rsidR="00783C44" w:rsidRDefault="00783C44" w:rsidP="00783C44">
      <w:pPr>
        <w:ind w:firstLine="360"/>
      </w:pPr>
      <w:r>
        <w:t>Set the reallocation function to be called in a bi-weekly basis. Divide the current price by the price from 14 days. Compare the performances and rebalance portfolio accordingly.</w:t>
      </w:r>
    </w:p>
    <w:p w14:paraId="731E9594" w14:textId="77777777" w:rsidR="00783C44" w:rsidRDefault="00783C44" w:rsidP="00783C44">
      <w:r>
        <w:rPr>
          <w:noProof/>
        </w:rPr>
        <w:lastRenderedPageBreak/>
        <w:drawing>
          <wp:inline distT="0" distB="0" distL="0" distR="0" wp14:anchorId="2D6EF690" wp14:editId="14F5AF75">
            <wp:extent cx="5943600" cy="53689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Algo2_iter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14:paraId="775D5063" w14:textId="77777777" w:rsidR="00783C44" w:rsidRDefault="002A3E51" w:rsidP="00783C44">
      <w:pPr>
        <w:pStyle w:val="ListParagraph"/>
        <w:numPr>
          <w:ilvl w:val="0"/>
          <w:numId w:val="1"/>
        </w:numPr>
      </w:pPr>
      <w:r>
        <w:t>Results</w:t>
      </w:r>
    </w:p>
    <w:p w14:paraId="51E1EF75" w14:textId="77777777" w:rsidR="00783C44" w:rsidRDefault="00783C44" w:rsidP="00783C44">
      <w:r>
        <w:rPr>
          <w:noProof/>
        </w:rPr>
        <w:lastRenderedPageBreak/>
        <w:drawing>
          <wp:inline distT="0" distB="0" distL="0" distR="0" wp14:anchorId="3058D75F" wp14:editId="5B4B365F">
            <wp:extent cx="5943600" cy="2948305"/>
            <wp:effectExtent l="0" t="0" r="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oneAlgo2_iter1_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63AC4154" w14:textId="77777777" w:rsidR="00783C44" w:rsidRDefault="00783C44" w:rsidP="00783C44">
      <w:pPr>
        <w:pStyle w:val="ListParagraph"/>
      </w:pPr>
    </w:p>
    <w:p w14:paraId="62532DF2" w14:textId="77777777" w:rsidR="002A3E51" w:rsidRDefault="002A3E51" w:rsidP="002A3E51">
      <w:pPr>
        <w:pStyle w:val="ListParagraph"/>
        <w:numPr>
          <w:ilvl w:val="0"/>
          <w:numId w:val="1"/>
        </w:numPr>
      </w:pPr>
      <w:r>
        <w:t>Conclusion</w:t>
      </w:r>
    </w:p>
    <w:p w14:paraId="2C16957A" w14:textId="77777777" w:rsidR="00811080" w:rsidRDefault="00783C44" w:rsidP="00811080">
      <w:pPr>
        <w:ind w:left="360" w:firstLine="360"/>
      </w:pPr>
      <w:r>
        <w:t xml:space="preserve">While the rate of return was respectable, it failed to outperform UPRO and TQQ benchmarks. There were large periods of downturn that ate into capital and resulted in smaller returns. The biggest advantage of flexible strategies in comparison to buy and hold, is their ability to navigate away from downturns, so this will need to be </w:t>
      </w:r>
      <w:r w:rsidR="00811080">
        <w:t>considered</w:t>
      </w:r>
      <w:r>
        <w:t>. A</w:t>
      </w:r>
      <w:r w:rsidR="00811080">
        <w:t xml:space="preserve"> possible remedy could be the implementation of a</w:t>
      </w:r>
      <w:r>
        <w:t xml:space="preserve"> conditional to </w:t>
      </w:r>
      <w:r w:rsidR="00811080">
        <w:t xml:space="preserve">stay out of the market during periods of low performance, and/or to add risk management to the algo. </w:t>
      </w:r>
    </w:p>
    <w:p w14:paraId="797126C2" w14:textId="77777777" w:rsidR="00811080" w:rsidRDefault="00811080" w:rsidP="00811080">
      <w:r>
        <w:t>2. Second Iteration</w:t>
      </w:r>
    </w:p>
    <w:p w14:paraId="04E8DE96" w14:textId="77777777" w:rsidR="00811080" w:rsidRDefault="00811080" w:rsidP="00353E93">
      <w:pPr>
        <w:ind w:firstLine="720"/>
      </w:pPr>
      <w:r>
        <w:t>a. Hypothesis</w:t>
      </w:r>
    </w:p>
    <w:p w14:paraId="74AFC893" w14:textId="77777777" w:rsidR="00811080" w:rsidRDefault="00811080" w:rsidP="00353E93">
      <w:pPr>
        <w:ind w:firstLine="720"/>
      </w:pPr>
      <w:r>
        <w:t>Addition of basic risk management will preserve more capital and lead to a greater return over</w:t>
      </w:r>
      <w:r w:rsidR="00353E93">
        <w:t xml:space="preserve"> </w:t>
      </w:r>
      <w:r>
        <w:t>time</w:t>
      </w:r>
      <w:r w:rsidR="00353E93">
        <w:t xml:space="preserve">, playing on the weakness of buy/hold strategies. </w:t>
      </w:r>
    </w:p>
    <w:p w14:paraId="16AEB66D" w14:textId="77777777" w:rsidR="00811080" w:rsidRDefault="00811080" w:rsidP="00353E93">
      <w:pPr>
        <w:ind w:firstLine="720"/>
      </w:pPr>
      <w:r>
        <w:t>b. Implementation (Iteration 2)</w:t>
      </w:r>
    </w:p>
    <w:p w14:paraId="4799335D" w14:textId="03B0DFC2" w:rsidR="00353E93" w:rsidRDefault="00353E93" w:rsidP="00353E93">
      <w:pPr>
        <w:ind w:firstLine="720"/>
      </w:pPr>
      <w:r>
        <w:t xml:space="preserve">A trailing stop loss will be set to 15%, with a max drawdown of 70% using the module provided by </w:t>
      </w:r>
      <w:proofErr w:type="spellStart"/>
      <w:r>
        <w:t>QuantConnect</w:t>
      </w:r>
      <w:proofErr w:type="spellEnd"/>
      <w:r>
        <w:t>.</w:t>
      </w:r>
      <w:r w:rsidR="00DE4EE5">
        <w:t xml:space="preserve"> Stop loss amount was determined </w:t>
      </w:r>
      <w:r w:rsidR="00D1346C">
        <w:t>by</w:t>
      </w:r>
      <w:r w:rsidR="00DE4EE5">
        <w:t xml:space="preserve"> insights gained </w:t>
      </w:r>
      <w:r w:rsidR="00D1346C">
        <w:t>from</w:t>
      </w:r>
      <w:r w:rsidR="00DE4EE5">
        <w:t xml:space="preserve"> this article: </w:t>
      </w:r>
      <w:r w:rsidR="00DE4EE5" w:rsidRPr="00DE4EE5">
        <w:t>https://www.quant-investing.com/blogs/general/2015/02/16/truths-about-stop-losses-that-nobody-wants-to-believe</w:t>
      </w:r>
      <w:r w:rsidR="00DE4EE5">
        <w:t>.</w:t>
      </w:r>
    </w:p>
    <w:p w14:paraId="5B54405D" w14:textId="77777777" w:rsidR="00353E93" w:rsidRDefault="00353E93" w:rsidP="00811080">
      <w:r>
        <w:rPr>
          <w:noProof/>
        </w:rPr>
        <w:lastRenderedPageBreak/>
        <w:drawing>
          <wp:inline distT="0" distB="0" distL="0" distR="0" wp14:anchorId="6F71B2B3" wp14:editId="77E17536">
            <wp:extent cx="5943600" cy="42799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toneAlgo2_iter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p w14:paraId="4A3617DC" w14:textId="77777777" w:rsidR="00811080" w:rsidRDefault="004E1775" w:rsidP="004E1775">
      <w:r>
        <w:t xml:space="preserve">       c. </w:t>
      </w:r>
      <w:r w:rsidR="00811080">
        <w:t>Results</w:t>
      </w:r>
    </w:p>
    <w:p w14:paraId="183E383A" w14:textId="77777777" w:rsidR="00353E93" w:rsidRDefault="00353E93" w:rsidP="00811080">
      <w:r>
        <w:rPr>
          <w:noProof/>
        </w:rPr>
        <w:drawing>
          <wp:inline distT="0" distB="0" distL="0" distR="0" wp14:anchorId="1F5A7FF2" wp14:editId="6DEB2CF8">
            <wp:extent cx="5943600" cy="2823210"/>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Algo2_iter2_resul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25FFD2BA" w14:textId="77777777" w:rsidR="004E1775" w:rsidRDefault="00811080" w:rsidP="004E1775">
      <w:pPr>
        <w:pStyle w:val="ListParagraph"/>
        <w:numPr>
          <w:ilvl w:val="0"/>
          <w:numId w:val="4"/>
        </w:numPr>
      </w:pPr>
      <w:r>
        <w:t>Conclusion</w:t>
      </w:r>
    </w:p>
    <w:p w14:paraId="6243F240" w14:textId="77777777" w:rsidR="004E1775" w:rsidRDefault="004E1775" w:rsidP="004E1775">
      <w:pPr>
        <w:pStyle w:val="ListParagraph"/>
        <w:ind w:firstLine="720"/>
      </w:pPr>
    </w:p>
    <w:p w14:paraId="63B1626E" w14:textId="77777777" w:rsidR="00353E93" w:rsidRDefault="00353E93" w:rsidP="004E1775">
      <w:pPr>
        <w:pStyle w:val="ListParagraph"/>
        <w:ind w:firstLine="720"/>
      </w:pPr>
      <w:r>
        <w:lastRenderedPageBreak/>
        <w:t>There was no difference in return, suggesting the stop losses/drawdown conditions were never met. A more restrictive risk management may protect more capital, but it could also negatively affect returns. Attention will be shifted to staying out of the market during downturns.</w:t>
      </w:r>
    </w:p>
    <w:p w14:paraId="271A065B" w14:textId="77777777" w:rsidR="00353E93" w:rsidRDefault="00353E93" w:rsidP="00353E93">
      <w:r>
        <w:t>3. Third Iteration</w:t>
      </w:r>
    </w:p>
    <w:p w14:paraId="2C729638" w14:textId="77777777" w:rsidR="00353E93" w:rsidRDefault="00353E93" w:rsidP="00353E93">
      <w:pPr>
        <w:ind w:firstLine="720"/>
      </w:pPr>
      <w:r>
        <w:t>a. Hypothesis</w:t>
      </w:r>
    </w:p>
    <w:p w14:paraId="42F9AEEC" w14:textId="77777777" w:rsidR="004E1775" w:rsidRDefault="00353E93" w:rsidP="004E1775">
      <w:pPr>
        <w:ind w:left="720" w:firstLine="720"/>
      </w:pPr>
      <w:r>
        <w:t>Staying out of the market during poor performance periods will protect capital and yield greater overall returns.</w:t>
      </w:r>
    </w:p>
    <w:p w14:paraId="7FB85FA2" w14:textId="77777777" w:rsidR="00353E93" w:rsidRDefault="004E1775" w:rsidP="004E1775">
      <w:pPr>
        <w:ind w:firstLine="720"/>
      </w:pPr>
      <w:r>
        <w:t xml:space="preserve">b. </w:t>
      </w:r>
      <w:r w:rsidR="00353E93">
        <w:t>Implementation</w:t>
      </w:r>
      <w:r>
        <w:t xml:space="preserve"> (Iteration 3)</w:t>
      </w:r>
    </w:p>
    <w:p w14:paraId="5F39CA21" w14:textId="77777777" w:rsidR="004E1775" w:rsidRDefault="004E1775" w:rsidP="004E1775">
      <w:pPr>
        <w:ind w:left="720" w:firstLine="720"/>
      </w:pPr>
      <w:r>
        <w:t xml:space="preserve">Performance ratios will be stored in list, which will be sorted in ascending order. The last item in the list (highest performing asset) will be put through a conditional to determine </w:t>
      </w:r>
      <w:proofErr w:type="gramStart"/>
      <w:r>
        <w:t>whether or not</w:t>
      </w:r>
      <w:proofErr w:type="gramEnd"/>
      <w:r>
        <w:t xml:space="preserve"> a position will be taken in the market.</w:t>
      </w:r>
      <w:r w:rsidR="003730F2">
        <w:t xml:space="preserve"> If the ratio of the top performing stock ratio is below 0.85, all positions will be liquidated, and no new positions will be taken until the next reallocation period.</w:t>
      </w:r>
    </w:p>
    <w:p w14:paraId="470C2CA1" w14:textId="77777777" w:rsidR="004E1775" w:rsidRDefault="004E1775" w:rsidP="004E1775">
      <w:r>
        <w:rPr>
          <w:noProof/>
        </w:rPr>
        <w:lastRenderedPageBreak/>
        <w:drawing>
          <wp:inline distT="0" distB="0" distL="0" distR="0" wp14:anchorId="72291FED" wp14:editId="2EBAAE6D">
            <wp:extent cx="5943600" cy="59245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stoneAlgo2_iter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24550"/>
                    </a:xfrm>
                    <a:prstGeom prst="rect">
                      <a:avLst/>
                    </a:prstGeom>
                  </pic:spPr>
                </pic:pic>
              </a:graphicData>
            </a:graphic>
          </wp:inline>
        </w:drawing>
      </w:r>
    </w:p>
    <w:p w14:paraId="3918F1C2" w14:textId="77777777" w:rsidR="00353E93" w:rsidRDefault="00353E93" w:rsidP="00353E93">
      <w:pPr>
        <w:ind w:left="720"/>
      </w:pPr>
    </w:p>
    <w:p w14:paraId="0CFF6E14" w14:textId="77777777" w:rsidR="00353E93" w:rsidRDefault="00353E93" w:rsidP="00353E93">
      <w:pPr>
        <w:ind w:firstLine="720"/>
      </w:pPr>
      <w:r>
        <w:t>c. Results</w:t>
      </w:r>
    </w:p>
    <w:p w14:paraId="3E2EBD7F" w14:textId="77777777" w:rsidR="004E1775" w:rsidRDefault="004E1775" w:rsidP="004E1775">
      <w:r>
        <w:rPr>
          <w:noProof/>
        </w:rPr>
        <w:lastRenderedPageBreak/>
        <w:drawing>
          <wp:inline distT="0" distB="0" distL="0" distR="0" wp14:anchorId="4AC251A8" wp14:editId="1BC36D81">
            <wp:extent cx="5943600" cy="2939415"/>
            <wp:effectExtent l="0" t="0" r="0" b="0"/>
            <wp:docPr id="6" name="Picture 6" descr="A picture containing text,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stoneAlgo2_iter3_resul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inline>
        </w:drawing>
      </w:r>
    </w:p>
    <w:p w14:paraId="22288EE0" w14:textId="77777777" w:rsidR="00353E93" w:rsidRDefault="00353E93" w:rsidP="00353E93">
      <w:pPr>
        <w:ind w:firstLine="720"/>
      </w:pPr>
      <w:r>
        <w:t>d. Conclusion</w:t>
      </w:r>
    </w:p>
    <w:p w14:paraId="08FDE3C5" w14:textId="77777777" w:rsidR="003730F2" w:rsidRDefault="004E1775" w:rsidP="003730F2">
      <w:pPr>
        <w:ind w:left="720" w:firstLine="720"/>
      </w:pPr>
      <w:r>
        <w:t>Performance suffered and returns dropped by approximately 400%</w:t>
      </w:r>
      <w:r w:rsidR="003730F2">
        <w:t>. Despite staying out of the market during poor performance periods, there were still large periods of downturns. Analyzing feedback from the console, it was found that there were multiple instances where market orders weren’t filled due to insufficient buying power. This suggests that there could have been instances where buying opportunities were missed. Before continuing to address the downturn issue, this will need to be fixed.</w:t>
      </w:r>
    </w:p>
    <w:p w14:paraId="0F17BF7B" w14:textId="77777777" w:rsidR="003730F2" w:rsidRDefault="003730F2" w:rsidP="003730F2">
      <w:r>
        <w:t>4. Fourth Iteration</w:t>
      </w:r>
    </w:p>
    <w:p w14:paraId="1D198D07" w14:textId="77777777" w:rsidR="003730F2" w:rsidRDefault="003730F2" w:rsidP="003730F2">
      <w:r>
        <w:tab/>
        <w:t>a. Hypothesis</w:t>
      </w:r>
    </w:p>
    <w:p w14:paraId="784419FC" w14:textId="487E0550" w:rsidR="003730F2" w:rsidRDefault="003730F2" w:rsidP="003730F2">
      <w:pPr>
        <w:ind w:left="720" w:firstLine="720"/>
      </w:pPr>
      <w:r>
        <w:t>Instances where market orders where not executed could be hindering the overall return, as well as masking the true performance of the algorithm. Will aim to eliminate most situations resulting in invalid orders.</w:t>
      </w:r>
      <w:r w:rsidR="005E599D" w:rsidRPr="005E599D">
        <w:t xml:space="preserve"> </w:t>
      </w:r>
      <w:r w:rsidR="005E599D">
        <w:t>After researching the issue, it was found that there could be various reasons buying power is insufficient, ranging from sell orders not executing, to a lag between selling and availability of capital for purchases.</w:t>
      </w:r>
    </w:p>
    <w:p w14:paraId="67A5CD95" w14:textId="77777777" w:rsidR="003730F2" w:rsidRDefault="003730F2" w:rsidP="003730F2">
      <w:r>
        <w:tab/>
        <w:t>b. Implementation</w:t>
      </w:r>
      <w:r w:rsidR="008C70FD">
        <w:t xml:space="preserve"> (Iteration 4)</w:t>
      </w:r>
    </w:p>
    <w:p w14:paraId="5ECCC2D7" w14:textId="16AAD148" w:rsidR="003730F2" w:rsidRDefault="003730F2" w:rsidP="008C70FD">
      <w:pPr>
        <w:ind w:left="720" w:firstLine="720"/>
      </w:pPr>
      <w:r>
        <w:t xml:space="preserve">To circumvent all </w:t>
      </w:r>
      <w:r w:rsidR="008C70FD">
        <w:t xml:space="preserve">possible situations, a different method will be called to make purchases (based on quantity). The quantity that can be purchased with current buying power will be calculated prior to calling the function/placing the order. </w:t>
      </w:r>
    </w:p>
    <w:p w14:paraId="705B99A7" w14:textId="77777777" w:rsidR="008C70FD" w:rsidRDefault="008C70FD" w:rsidP="008C70FD">
      <w:r>
        <w:rPr>
          <w:noProof/>
        </w:rPr>
        <w:lastRenderedPageBreak/>
        <w:drawing>
          <wp:inline distT="0" distB="0" distL="0" distR="0" wp14:anchorId="334CAEAD" wp14:editId="1FD60142">
            <wp:extent cx="5943600" cy="49041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stoneAlgo2_iter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04105"/>
                    </a:xfrm>
                    <a:prstGeom prst="rect">
                      <a:avLst/>
                    </a:prstGeom>
                  </pic:spPr>
                </pic:pic>
              </a:graphicData>
            </a:graphic>
          </wp:inline>
        </w:drawing>
      </w:r>
    </w:p>
    <w:p w14:paraId="05229CEC" w14:textId="77777777" w:rsidR="003730F2" w:rsidRDefault="003730F2" w:rsidP="003730F2">
      <w:r>
        <w:tab/>
        <w:t>c. Results</w:t>
      </w:r>
    </w:p>
    <w:p w14:paraId="1BEAC9F3" w14:textId="77777777" w:rsidR="008C70FD" w:rsidRDefault="008C70FD" w:rsidP="003730F2">
      <w:r>
        <w:rPr>
          <w:noProof/>
        </w:rPr>
        <w:drawing>
          <wp:inline distT="0" distB="0" distL="0" distR="0" wp14:anchorId="6FFB15B8" wp14:editId="0E7D1E65">
            <wp:extent cx="5943600" cy="2804795"/>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stoneAlgo2_iter4_resul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14:paraId="19523C4E" w14:textId="77777777" w:rsidR="003730F2" w:rsidRDefault="008C70FD" w:rsidP="008C70FD">
      <w:r>
        <w:lastRenderedPageBreak/>
        <w:tab/>
        <w:t xml:space="preserve">d. </w:t>
      </w:r>
      <w:r w:rsidR="003730F2">
        <w:t>Conclusion</w:t>
      </w:r>
    </w:p>
    <w:p w14:paraId="02E04BB0" w14:textId="77777777" w:rsidR="008C70FD" w:rsidRDefault="008C70FD" w:rsidP="00D974B1">
      <w:pPr>
        <w:ind w:left="720" w:firstLine="720"/>
      </w:pPr>
      <w:r>
        <w:t xml:space="preserve">Returns doubled by implementing a fix to the issue of invalid orders, which was proven to be a hindrance to the algorithm. Focus will shift to continue dealing with downturns. Given that reallocation occurs every two weeks, the issue could lie in the </w:t>
      </w:r>
      <w:proofErr w:type="gramStart"/>
      <w:r>
        <w:t>short term</w:t>
      </w:r>
      <w:proofErr w:type="gramEnd"/>
      <w:r>
        <w:t xml:space="preserve"> analysis. If performance was tracked over longer periods, this may catch periods of extended downturns, allowing us to stay out of the market.</w:t>
      </w:r>
    </w:p>
    <w:p w14:paraId="71C4601F" w14:textId="77777777" w:rsidR="00D974B1" w:rsidRDefault="00D974B1" w:rsidP="008C70FD">
      <w:r>
        <w:t>5. Fifth Iteration</w:t>
      </w:r>
    </w:p>
    <w:p w14:paraId="15A88685" w14:textId="77777777" w:rsidR="00D974B1" w:rsidRDefault="00D974B1" w:rsidP="008C70FD">
      <w:r>
        <w:tab/>
        <w:t>a. Hypothesis</w:t>
      </w:r>
    </w:p>
    <w:p w14:paraId="7D3D4D17" w14:textId="77777777" w:rsidR="00D974B1" w:rsidRDefault="00D974B1" w:rsidP="00D974B1">
      <w:pPr>
        <w:ind w:left="720" w:firstLine="720"/>
      </w:pPr>
      <w:r>
        <w:t xml:space="preserve">Longer gaps between reallocations could catch longer term trends in the market, preventing large downturns. Multiple reallocation periods will be tested, including: 1 week, 2 weeks (current), 3 weeks, 4 weeks, 6 weeks, and 8 weeks. Any longer than 2 months may defeat the purpose of the algorithm, as there could be significant lag, making it harder to ride momentum. </w:t>
      </w:r>
    </w:p>
    <w:p w14:paraId="33C37513" w14:textId="77777777" w:rsidR="00D974B1" w:rsidRDefault="00D974B1" w:rsidP="00D974B1">
      <w:r>
        <w:tab/>
        <w:t>b. Implementation</w:t>
      </w:r>
      <w:r w:rsidR="00DC0E9C">
        <w:t xml:space="preserve"> (Iteration 5)</w:t>
      </w:r>
    </w:p>
    <w:p w14:paraId="6C6F2E58" w14:textId="77777777" w:rsidR="00D974B1" w:rsidRDefault="00D974B1" w:rsidP="00D974B1">
      <w:pPr>
        <w:ind w:left="720" w:firstLine="720"/>
      </w:pPr>
      <w:r>
        <w:t>The reallocation function will be scheduled to be called at all the various time periods mentioned above. Results will be compared to provide insights into the significance of time periods when performing rebalancing/riding momentum.</w:t>
      </w:r>
    </w:p>
    <w:p w14:paraId="0051DB03" w14:textId="77777777" w:rsidR="00D974B1" w:rsidRDefault="00D974B1" w:rsidP="00D974B1">
      <w:pPr>
        <w:ind w:firstLine="720"/>
      </w:pPr>
      <w:r>
        <w:t>c. Results</w:t>
      </w:r>
    </w:p>
    <w:tbl>
      <w:tblPr>
        <w:tblStyle w:val="TableGrid"/>
        <w:tblW w:w="0" w:type="auto"/>
        <w:tblLook w:val="04A0" w:firstRow="1" w:lastRow="0" w:firstColumn="1" w:lastColumn="0" w:noHBand="0" w:noVBand="1"/>
      </w:tblPr>
      <w:tblGrid>
        <w:gridCol w:w="2685"/>
        <w:gridCol w:w="2496"/>
        <w:gridCol w:w="2206"/>
        <w:gridCol w:w="1963"/>
      </w:tblGrid>
      <w:tr w:rsidR="008F1504" w14:paraId="0AAD644D" w14:textId="77777777" w:rsidTr="008F1504">
        <w:tc>
          <w:tcPr>
            <w:tcW w:w="2685" w:type="dxa"/>
          </w:tcPr>
          <w:p w14:paraId="5F4BAB13" w14:textId="77777777" w:rsidR="008F1504" w:rsidRDefault="008F1504" w:rsidP="008F1504">
            <w:pPr>
              <w:jc w:val="center"/>
            </w:pPr>
            <w:r>
              <w:t>Time Between Reallocations</w:t>
            </w:r>
          </w:p>
        </w:tc>
        <w:tc>
          <w:tcPr>
            <w:tcW w:w="2496" w:type="dxa"/>
          </w:tcPr>
          <w:p w14:paraId="74EEDF74" w14:textId="77777777" w:rsidR="008F1504" w:rsidRDefault="008F1504" w:rsidP="008F1504">
            <w:pPr>
              <w:jc w:val="center"/>
            </w:pPr>
            <w:r>
              <w:t>Percent Return (10 Years)</w:t>
            </w:r>
          </w:p>
        </w:tc>
        <w:tc>
          <w:tcPr>
            <w:tcW w:w="2206" w:type="dxa"/>
          </w:tcPr>
          <w:p w14:paraId="0AFF4E6B" w14:textId="77777777" w:rsidR="008F1504" w:rsidRDefault="008F1504" w:rsidP="008F1504">
            <w:pPr>
              <w:jc w:val="center"/>
            </w:pPr>
            <w:r>
              <w:t>Total Number of Trades</w:t>
            </w:r>
          </w:p>
        </w:tc>
        <w:tc>
          <w:tcPr>
            <w:tcW w:w="1963" w:type="dxa"/>
          </w:tcPr>
          <w:p w14:paraId="7F701A49" w14:textId="77777777" w:rsidR="008F1504" w:rsidRDefault="008F1504" w:rsidP="008F1504">
            <w:pPr>
              <w:jc w:val="center"/>
            </w:pPr>
            <w:r>
              <w:t>Average # of Trades per Year</w:t>
            </w:r>
          </w:p>
        </w:tc>
      </w:tr>
      <w:tr w:rsidR="008F1504" w14:paraId="1781B350" w14:textId="77777777" w:rsidTr="008F1504">
        <w:tc>
          <w:tcPr>
            <w:tcW w:w="2685" w:type="dxa"/>
          </w:tcPr>
          <w:p w14:paraId="38ED822A" w14:textId="77777777" w:rsidR="008F1504" w:rsidRDefault="008F1504" w:rsidP="008F1504">
            <w:pPr>
              <w:jc w:val="center"/>
            </w:pPr>
            <w:r>
              <w:t>1 Week</w:t>
            </w:r>
          </w:p>
        </w:tc>
        <w:tc>
          <w:tcPr>
            <w:tcW w:w="2496" w:type="dxa"/>
          </w:tcPr>
          <w:p w14:paraId="0AA754D6" w14:textId="77777777" w:rsidR="008F1504" w:rsidRDefault="008F1504" w:rsidP="008F1504">
            <w:pPr>
              <w:jc w:val="center"/>
            </w:pPr>
            <w:r>
              <w:t>220.76%</w:t>
            </w:r>
          </w:p>
        </w:tc>
        <w:tc>
          <w:tcPr>
            <w:tcW w:w="2206" w:type="dxa"/>
          </w:tcPr>
          <w:p w14:paraId="506E4579" w14:textId="77777777" w:rsidR="008F1504" w:rsidRDefault="008F1504" w:rsidP="008F1504">
            <w:pPr>
              <w:jc w:val="center"/>
            </w:pPr>
            <w:r>
              <w:t>789</w:t>
            </w:r>
          </w:p>
        </w:tc>
        <w:tc>
          <w:tcPr>
            <w:tcW w:w="1963" w:type="dxa"/>
          </w:tcPr>
          <w:p w14:paraId="316C017C" w14:textId="77777777" w:rsidR="008F1504" w:rsidRDefault="008F1504" w:rsidP="008F1504">
            <w:pPr>
              <w:jc w:val="center"/>
            </w:pPr>
            <w:r>
              <w:t>79</w:t>
            </w:r>
          </w:p>
        </w:tc>
      </w:tr>
      <w:tr w:rsidR="008F1504" w14:paraId="6684B0D8" w14:textId="77777777" w:rsidTr="008F1504">
        <w:tc>
          <w:tcPr>
            <w:tcW w:w="2685" w:type="dxa"/>
          </w:tcPr>
          <w:p w14:paraId="65C8BF8E" w14:textId="77777777" w:rsidR="008F1504" w:rsidRDefault="008F1504" w:rsidP="008F1504">
            <w:pPr>
              <w:jc w:val="center"/>
            </w:pPr>
            <w:r>
              <w:t>2 Weeks</w:t>
            </w:r>
          </w:p>
        </w:tc>
        <w:tc>
          <w:tcPr>
            <w:tcW w:w="2496" w:type="dxa"/>
          </w:tcPr>
          <w:p w14:paraId="61698CF7" w14:textId="77777777" w:rsidR="008F1504" w:rsidRDefault="008F1504" w:rsidP="008F1504">
            <w:pPr>
              <w:jc w:val="center"/>
            </w:pPr>
            <w:r>
              <w:t>1632.53%</w:t>
            </w:r>
          </w:p>
        </w:tc>
        <w:tc>
          <w:tcPr>
            <w:tcW w:w="2206" w:type="dxa"/>
          </w:tcPr>
          <w:p w14:paraId="2951CC87" w14:textId="77777777" w:rsidR="008F1504" w:rsidRDefault="008F1504" w:rsidP="008F1504">
            <w:pPr>
              <w:jc w:val="center"/>
            </w:pPr>
            <w:r>
              <w:t>395</w:t>
            </w:r>
          </w:p>
        </w:tc>
        <w:tc>
          <w:tcPr>
            <w:tcW w:w="1963" w:type="dxa"/>
          </w:tcPr>
          <w:p w14:paraId="422026FE" w14:textId="77777777" w:rsidR="008F1504" w:rsidRDefault="008F1504" w:rsidP="008F1504">
            <w:pPr>
              <w:jc w:val="center"/>
            </w:pPr>
            <w:r>
              <w:t>40</w:t>
            </w:r>
          </w:p>
        </w:tc>
      </w:tr>
      <w:tr w:rsidR="008F1504" w14:paraId="4F6939CC" w14:textId="77777777" w:rsidTr="008F1504">
        <w:tc>
          <w:tcPr>
            <w:tcW w:w="2685" w:type="dxa"/>
          </w:tcPr>
          <w:p w14:paraId="0B812EC1" w14:textId="77777777" w:rsidR="008F1504" w:rsidRDefault="008F1504" w:rsidP="008F1504">
            <w:pPr>
              <w:jc w:val="center"/>
            </w:pPr>
            <w:r>
              <w:t>3 Weeks</w:t>
            </w:r>
          </w:p>
        </w:tc>
        <w:tc>
          <w:tcPr>
            <w:tcW w:w="2496" w:type="dxa"/>
          </w:tcPr>
          <w:p w14:paraId="75EB653F" w14:textId="77777777" w:rsidR="008F1504" w:rsidRDefault="008F1504" w:rsidP="008F1504">
            <w:pPr>
              <w:jc w:val="center"/>
            </w:pPr>
            <w:r>
              <w:t>1090.27%</w:t>
            </w:r>
          </w:p>
        </w:tc>
        <w:tc>
          <w:tcPr>
            <w:tcW w:w="2206" w:type="dxa"/>
          </w:tcPr>
          <w:p w14:paraId="6298187F" w14:textId="77777777" w:rsidR="008F1504" w:rsidRDefault="008F1504" w:rsidP="008F1504">
            <w:pPr>
              <w:jc w:val="center"/>
            </w:pPr>
            <w:r>
              <w:t>249</w:t>
            </w:r>
          </w:p>
        </w:tc>
        <w:tc>
          <w:tcPr>
            <w:tcW w:w="1963" w:type="dxa"/>
          </w:tcPr>
          <w:p w14:paraId="7FF0AEA7" w14:textId="77777777" w:rsidR="008F1504" w:rsidRDefault="008F1504" w:rsidP="008F1504">
            <w:pPr>
              <w:jc w:val="center"/>
            </w:pPr>
            <w:r>
              <w:t>25</w:t>
            </w:r>
          </w:p>
        </w:tc>
      </w:tr>
      <w:tr w:rsidR="008F1504" w14:paraId="1DF2EAE7" w14:textId="77777777" w:rsidTr="008F1504">
        <w:tc>
          <w:tcPr>
            <w:tcW w:w="2685" w:type="dxa"/>
          </w:tcPr>
          <w:p w14:paraId="12DB2E24" w14:textId="77777777" w:rsidR="008F1504" w:rsidRDefault="008F1504" w:rsidP="008F1504">
            <w:pPr>
              <w:jc w:val="center"/>
            </w:pPr>
            <w:r>
              <w:t>4 Weeks</w:t>
            </w:r>
          </w:p>
        </w:tc>
        <w:tc>
          <w:tcPr>
            <w:tcW w:w="2496" w:type="dxa"/>
          </w:tcPr>
          <w:p w14:paraId="7D85C52F" w14:textId="77777777" w:rsidR="008F1504" w:rsidRDefault="008F1504" w:rsidP="008F1504">
            <w:pPr>
              <w:jc w:val="center"/>
            </w:pPr>
            <w:r w:rsidRPr="008F1504">
              <w:rPr>
                <w:highlight w:val="yellow"/>
              </w:rPr>
              <w:t>2574.34%</w:t>
            </w:r>
          </w:p>
        </w:tc>
        <w:tc>
          <w:tcPr>
            <w:tcW w:w="2206" w:type="dxa"/>
          </w:tcPr>
          <w:p w14:paraId="0FEA9F6D" w14:textId="77777777" w:rsidR="008F1504" w:rsidRDefault="008F1504" w:rsidP="008F1504">
            <w:pPr>
              <w:jc w:val="center"/>
            </w:pPr>
            <w:r>
              <w:t>181</w:t>
            </w:r>
          </w:p>
        </w:tc>
        <w:tc>
          <w:tcPr>
            <w:tcW w:w="1963" w:type="dxa"/>
          </w:tcPr>
          <w:p w14:paraId="36F2DC1C" w14:textId="77777777" w:rsidR="008F1504" w:rsidRDefault="008F1504" w:rsidP="008F1504">
            <w:pPr>
              <w:jc w:val="center"/>
            </w:pPr>
            <w:r>
              <w:t>18</w:t>
            </w:r>
          </w:p>
        </w:tc>
      </w:tr>
      <w:tr w:rsidR="008F1504" w14:paraId="5C92E706" w14:textId="77777777" w:rsidTr="008F1504">
        <w:tc>
          <w:tcPr>
            <w:tcW w:w="2685" w:type="dxa"/>
          </w:tcPr>
          <w:p w14:paraId="0B2A5366" w14:textId="77777777" w:rsidR="008F1504" w:rsidRDefault="008F1504" w:rsidP="008F1504">
            <w:pPr>
              <w:jc w:val="center"/>
            </w:pPr>
            <w:r>
              <w:t>6 Weeks</w:t>
            </w:r>
          </w:p>
        </w:tc>
        <w:tc>
          <w:tcPr>
            <w:tcW w:w="2496" w:type="dxa"/>
          </w:tcPr>
          <w:p w14:paraId="71CE1B5C" w14:textId="77777777" w:rsidR="008F1504" w:rsidRDefault="008F1504" w:rsidP="008F1504">
            <w:pPr>
              <w:jc w:val="center"/>
            </w:pPr>
            <w:r>
              <w:t>324.11%</w:t>
            </w:r>
          </w:p>
        </w:tc>
        <w:tc>
          <w:tcPr>
            <w:tcW w:w="2206" w:type="dxa"/>
          </w:tcPr>
          <w:p w14:paraId="0AFC982E" w14:textId="77777777" w:rsidR="008F1504" w:rsidRDefault="008F1504" w:rsidP="008F1504">
            <w:pPr>
              <w:jc w:val="center"/>
            </w:pPr>
            <w:r>
              <w:t>123</w:t>
            </w:r>
          </w:p>
        </w:tc>
        <w:tc>
          <w:tcPr>
            <w:tcW w:w="1963" w:type="dxa"/>
          </w:tcPr>
          <w:p w14:paraId="1766C4A7" w14:textId="77777777" w:rsidR="008F1504" w:rsidRDefault="008F1504" w:rsidP="008F1504">
            <w:pPr>
              <w:jc w:val="center"/>
            </w:pPr>
            <w:r>
              <w:t>12</w:t>
            </w:r>
          </w:p>
        </w:tc>
      </w:tr>
      <w:tr w:rsidR="008F1504" w14:paraId="5C7BA504" w14:textId="77777777" w:rsidTr="008F1504">
        <w:tc>
          <w:tcPr>
            <w:tcW w:w="2685" w:type="dxa"/>
          </w:tcPr>
          <w:p w14:paraId="0AB5BF67" w14:textId="77777777" w:rsidR="008F1504" w:rsidRDefault="008F1504" w:rsidP="008F1504">
            <w:pPr>
              <w:jc w:val="center"/>
            </w:pPr>
            <w:r>
              <w:t>8 Weeks</w:t>
            </w:r>
          </w:p>
        </w:tc>
        <w:tc>
          <w:tcPr>
            <w:tcW w:w="2496" w:type="dxa"/>
          </w:tcPr>
          <w:p w14:paraId="797C8D4F" w14:textId="77777777" w:rsidR="008F1504" w:rsidRDefault="008F1504" w:rsidP="008F1504">
            <w:pPr>
              <w:jc w:val="center"/>
            </w:pPr>
            <w:r>
              <w:t>52.23%</w:t>
            </w:r>
          </w:p>
        </w:tc>
        <w:tc>
          <w:tcPr>
            <w:tcW w:w="2206" w:type="dxa"/>
          </w:tcPr>
          <w:p w14:paraId="3A460710" w14:textId="77777777" w:rsidR="008F1504" w:rsidRDefault="008F1504" w:rsidP="008F1504">
            <w:pPr>
              <w:jc w:val="center"/>
            </w:pPr>
            <w:r>
              <w:t>83</w:t>
            </w:r>
          </w:p>
        </w:tc>
        <w:tc>
          <w:tcPr>
            <w:tcW w:w="1963" w:type="dxa"/>
          </w:tcPr>
          <w:p w14:paraId="2B89B1ED" w14:textId="77777777" w:rsidR="008F1504" w:rsidRDefault="008F1504" w:rsidP="008F1504">
            <w:pPr>
              <w:jc w:val="center"/>
            </w:pPr>
            <w:r>
              <w:t>8</w:t>
            </w:r>
          </w:p>
        </w:tc>
      </w:tr>
    </w:tbl>
    <w:p w14:paraId="0E767514" w14:textId="77777777" w:rsidR="00D974B1" w:rsidRDefault="008F1504" w:rsidP="008F1504">
      <w:pPr>
        <w:ind w:left="720"/>
      </w:pPr>
      <w:r>
        <w:t>d. Conclusion</w:t>
      </w:r>
    </w:p>
    <w:p w14:paraId="717645F2" w14:textId="2BC537DE" w:rsidR="008F1504" w:rsidRDefault="008F1504" w:rsidP="008F1504">
      <w:pPr>
        <w:ind w:left="720"/>
      </w:pPr>
      <w:r>
        <w:tab/>
      </w:r>
      <w:r w:rsidR="00845C5D">
        <w:t>Four weeks between performance reanalysis and subsequent allocation yields the best returns, outperforming or matching the benchmarks set by three of the four equities. The average number of trades per year was 18, which was in-line with requirements from the client. A once-a-month reallocation seems ideal given consideration of all situations and constraints.</w:t>
      </w:r>
      <w:r w:rsidR="00056C3F">
        <w:t xml:space="preserve"> While returns improved significantly, there are still small periods (3 – 12 months) of strong downward momentum that decrease overall return.</w:t>
      </w:r>
    </w:p>
    <w:p w14:paraId="11A408CE" w14:textId="230B5A99" w:rsidR="00201A00" w:rsidRDefault="00201A00" w:rsidP="00201A00">
      <w:r>
        <w:t>6. Sixth Iteration</w:t>
      </w:r>
    </w:p>
    <w:p w14:paraId="059F5503" w14:textId="76514612" w:rsidR="00201A00" w:rsidRDefault="00201A00" w:rsidP="00201A00">
      <w:pPr>
        <w:ind w:firstLine="720"/>
      </w:pPr>
      <w:r>
        <w:t>a. Hypothesis</w:t>
      </w:r>
    </w:p>
    <w:p w14:paraId="26FA07F2" w14:textId="2DD0CF12" w:rsidR="006B0048" w:rsidRDefault="006B0048" w:rsidP="006B0048">
      <w:pPr>
        <w:ind w:left="720" w:firstLine="720"/>
      </w:pPr>
      <w:r>
        <w:t xml:space="preserve">Market direction in a very simplistic sense is determined by the length of trends on either side. Long term downtrends are composed of </w:t>
      </w:r>
      <w:proofErr w:type="gramStart"/>
      <w:r>
        <w:t>short term</w:t>
      </w:r>
      <w:proofErr w:type="gramEnd"/>
      <w:r>
        <w:t xml:space="preserve"> downtrends that are more impactful/longer than their short term uptrend counterparts, and vice versa. Considering the </w:t>
      </w:r>
      <w:r>
        <w:lastRenderedPageBreak/>
        <w:t xml:space="preserve">market never goes straight in one direction, but rather in waves, the algorithm could be adjusted to stay out when both the short term and </w:t>
      </w:r>
      <w:proofErr w:type="gramStart"/>
      <w:r>
        <w:t>long term</w:t>
      </w:r>
      <w:proofErr w:type="gramEnd"/>
      <w:r>
        <w:t xml:space="preserve"> price action is in a downtrend, but participate in all other situations.  In this way, not missing buying opportunities in downtrends, while avoiding larger drops associated with those same downtrends.</w:t>
      </w:r>
    </w:p>
    <w:p w14:paraId="4321D958" w14:textId="3EA4A4DB" w:rsidR="00201A00" w:rsidRDefault="00201A00" w:rsidP="00201A00">
      <w:pPr>
        <w:ind w:firstLine="720"/>
      </w:pPr>
      <w:r>
        <w:t>b. Implementation (Iteration 6)</w:t>
      </w:r>
    </w:p>
    <w:p w14:paraId="4D552BB1" w14:textId="47857434" w:rsidR="006B0048" w:rsidRDefault="006B0048" w:rsidP="006B0048">
      <w:pPr>
        <w:ind w:left="720" w:firstLine="720"/>
      </w:pPr>
      <w:r>
        <w:t xml:space="preserve">In order to catch longer term trends, the same methods to pull data will be used, but in an adjusted time frame. Data will be pulled for the same set of </w:t>
      </w:r>
      <w:proofErr w:type="gramStart"/>
      <w:r>
        <w:t>equities, but</w:t>
      </w:r>
      <w:proofErr w:type="gramEnd"/>
      <w:r>
        <w:t xml:space="preserve"> going back one quarter (90 days). It will be analyzed in the same manner, </w:t>
      </w:r>
      <w:r w:rsidR="00253E1B">
        <w:t xml:space="preserve">calculating a ratio that is then used to determine performance. The conditional will be stricter in the sense that if the top performing stock is lower in price than it was 90 days ago (less than 1.0), it will trigger a liquidation if in conjunction with the </w:t>
      </w:r>
      <w:proofErr w:type="gramStart"/>
      <w:r w:rsidR="00253E1B">
        <w:t>short term</w:t>
      </w:r>
      <w:proofErr w:type="gramEnd"/>
      <w:r w:rsidR="00253E1B">
        <w:t xml:space="preserve"> ratio dropping below 0.85. The </w:t>
      </w:r>
      <w:proofErr w:type="gramStart"/>
      <w:r w:rsidR="00253E1B">
        <w:t>short term</w:t>
      </w:r>
      <w:proofErr w:type="gramEnd"/>
      <w:r w:rsidR="00253E1B">
        <w:t xml:space="preserve"> ratio is not as strict to allow for buying opportunities during market corrections. </w:t>
      </w:r>
    </w:p>
    <w:p w14:paraId="65C7D2EB" w14:textId="3ED077D4" w:rsidR="00253E1B" w:rsidRDefault="00253E1B" w:rsidP="00253E1B">
      <w:r>
        <w:rPr>
          <w:noProof/>
        </w:rPr>
        <w:lastRenderedPageBreak/>
        <w:drawing>
          <wp:inline distT="0" distB="0" distL="0" distR="0" wp14:anchorId="5E91DAD4" wp14:editId="523DD774">
            <wp:extent cx="5842660" cy="6946898"/>
            <wp:effectExtent l="0" t="0" r="5715"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stoneAlgo2_iter6.png"/>
                    <pic:cNvPicPr/>
                  </pic:nvPicPr>
                  <pic:blipFill>
                    <a:blip r:embed="rId15">
                      <a:extLst>
                        <a:ext uri="{28A0092B-C50C-407E-A947-70E740481C1C}">
                          <a14:useLocalDpi xmlns:a14="http://schemas.microsoft.com/office/drawing/2010/main" val="0"/>
                        </a:ext>
                      </a:extLst>
                    </a:blip>
                    <a:stretch>
                      <a:fillRect/>
                    </a:stretch>
                  </pic:blipFill>
                  <pic:spPr>
                    <a:xfrm>
                      <a:off x="0" y="0"/>
                      <a:ext cx="5853206" cy="6959437"/>
                    </a:xfrm>
                    <a:prstGeom prst="rect">
                      <a:avLst/>
                    </a:prstGeom>
                  </pic:spPr>
                </pic:pic>
              </a:graphicData>
            </a:graphic>
          </wp:inline>
        </w:drawing>
      </w:r>
    </w:p>
    <w:p w14:paraId="1596A3B6" w14:textId="297F539C" w:rsidR="00201A00" w:rsidRDefault="00201A00" w:rsidP="00201A00">
      <w:pPr>
        <w:ind w:firstLine="720"/>
      </w:pPr>
      <w:r>
        <w:t>c. Results</w:t>
      </w:r>
    </w:p>
    <w:p w14:paraId="14B752AE" w14:textId="0214ED62" w:rsidR="00253E1B" w:rsidRDefault="00253E1B" w:rsidP="00253E1B">
      <w:r>
        <w:rPr>
          <w:noProof/>
        </w:rPr>
        <w:lastRenderedPageBreak/>
        <w:drawing>
          <wp:inline distT="0" distB="0" distL="0" distR="0" wp14:anchorId="77E37302" wp14:editId="7E217BFA">
            <wp:extent cx="5943600" cy="2235835"/>
            <wp:effectExtent l="0" t="0" r="0" b="0"/>
            <wp:docPr id="10" name="Picture 10" descr="A picture containing text, monitor,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stoneAlgo2_iter6_resul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35835"/>
                    </a:xfrm>
                    <a:prstGeom prst="rect">
                      <a:avLst/>
                    </a:prstGeom>
                  </pic:spPr>
                </pic:pic>
              </a:graphicData>
            </a:graphic>
          </wp:inline>
        </w:drawing>
      </w:r>
    </w:p>
    <w:p w14:paraId="67DDE545" w14:textId="093AE25D" w:rsidR="00201A00" w:rsidRDefault="00201A00" w:rsidP="00201A00">
      <w:pPr>
        <w:ind w:firstLine="720"/>
      </w:pPr>
      <w:r>
        <w:t>d. Conclusion</w:t>
      </w:r>
    </w:p>
    <w:p w14:paraId="61665244" w14:textId="4DE11CA0" w:rsidR="008C70FD" w:rsidRDefault="00253E1B" w:rsidP="00253E1B">
      <w:pPr>
        <w:ind w:left="720" w:firstLine="720"/>
      </w:pPr>
      <w:r>
        <w:t xml:space="preserve">Overall rate of return dropped by about 1000% in comparison to the previous iteration (where optimal reallocation/reanalysis occurred in </w:t>
      </w:r>
      <w:proofErr w:type="gramStart"/>
      <w:r>
        <w:t>4 week</w:t>
      </w:r>
      <w:proofErr w:type="gramEnd"/>
      <w:r>
        <w:t xml:space="preserve"> periods). Drawdowns were a bit more forgiving, but the added restrictions resulted in smaller risk and returns over time. Taking this into account, any further improvements in algo performance will most likely come from risk management models and not the alpha. </w:t>
      </w:r>
    </w:p>
    <w:p w14:paraId="0EB25C57" w14:textId="7B08CD8F" w:rsidR="00AC2C61" w:rsidRPr="00AC2C61" w:rsidRDefault="00AC2C61" w:rsidP="00AC2C61">
      <w:pPr>
        <w:rPr>
          <w:u w:val="single"/>
        </w:rPr>
      </w:pPr>
      <w:r w:rsidRPr="00BA1F7F">
        <w:rPr>
          <w:u w:val="single"/>
        </w:rPr>
        <w:t>Final Metrics (Iteration 5 – Top performing):</w:t>
      </w:r>
    </w:p>
    <w:p w14:paraId="6B8D1D2A"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Total Trades</w:t>
      </w:r>
    </w:p>
    <w:p w14:paraId="1FA4D0DE"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181</w:t>
      </w:r>
    </w:p>
    <w:p w14:paraId="10ED8AD3"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Average Win</w:t>
      </w:r>
    </w:p>
    <w:p w14:paraId="03F380A5"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14.30%</w:t>
      </w:r>
    </w:p>
    <w:p w14:paraId="2F9AF210"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Average Loss</w:t>
      </w:r>
    </w:p>
    <w:p w14:paraId="66452B86"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-10.83%</w:t>
      </w:r>
    </w:p>
    <w:p w14:paraId="06A39A1C"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Compounding Annual Return</w:t>
      </w:r>
    </w:p>
    <w:p w14:paraId="4D5BE343"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35.629%</w:t>
      </w:r>
    </w:p>
    <w:p w14:paraId="592A58EE"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Drawdown</w:t>
      </w:r>
    </w:p>
    <w:p w14:paraId="48A28943"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57.300%</w:t>
      </w:r>
    </w:p>
    <w:p w14:paraId="1E78B146"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Expectancy</w:t>
      </w:r>
    </w:p>
    <w:p w14:paraId="17358D6B"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0.469</w:t>
      </w:r>
    </w:p>
    <w:p w14:paraId="7C7F042E"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Net Profit</w:t>
      </w:r>
    </w:p>
    <w:p w14:paraId="2FD04F66"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2574.337%</w:t>
      </w:r>
    </w:p>
    <w:p w14:paraId="6582CB1A"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lastRenderedPageBreak/>
        <w:t>Sharpe Ratio</w:t>
      </w:r>
    </w:p>
    <w:p w14:paraId="65B6967C"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0.955</w:t>
      </w:r>
    </w:p>
    <w:p w14:paraId="28B7FE6C"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PSR</w:t>
      </w:r>
    </w:p>
    <w:p w14:paraId="35A833E0"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23.790%</w:t>
      </w:r>
    </w:p>
    <w:p w14:paraId="10DAEC86"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Loss Rate</w:t>
      </w:r>
    </w:p>
    <w:p w14:paraId="39B0837B"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37%</w:t>
      </w:r>
    </w:p>
    <w:p w14:paraId="43B0E55E"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Win Rate</w:t>
      </w:r>
    </w:p>
    <w:p w14:paraId="745C1F43"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63%</w:t>
      </w:r>
    </w:p>
    <w:p w14:paraId="0D283E8F"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Profit-Loss Ratio</w:t>
      </w:r>
    </w:p>
    <w:p w14:paraId="5BF4B91B"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1.32</w:t>
      </w:r>
    </w:p>
    <w:p w14:paraId="566E33BF"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Alpha</w:t>
      </w:r>
    </w:p>
    <w:p w14:paraId="5CC418A7"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0.425</w:t>
      </w:r>
    </w:p>
    <w:p w14:paraId="69F29894"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Beta</w:t>
      </w:r>
    </w:p>
    <w:p w14:paraId="1AD464C6"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-0.12</w:t>
      </w:r>
    </w:p>
    <w:p w14:paraId="612AAED5"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Annual Standard Deviation</w:t>
      </w:r>
    </w:p>
    <w:p w14:paraId="3D821658"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0.429</w:t>
      </w:r>
    </w:p>
    <w:p w14:paraId="429FF633"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Annual Variance</w:t>
      </w:r>
    </w:p>
    <w:p w14:paraId="0DB4E044"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0.184</w:t>
      </w:r>
    </w:p>
    <w:p w14:paraId="6F0C4D18"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Information Ratio</w:t>
      </w:r>
    </w:p>
    <w:p w14:paraId="45F67AFE"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0.61</w:t>
      </w:r>
    </w:p>
    <w:p w14:paraId="1BD9440F"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Tracking Error</w:t>
      </w:r>
    </w:p>
    <w:p w14:paraId="7914A87F"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0.463</w:t>
      </w:r>
    </w:p>
    <w:p w14:paraId="2891010E"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Treynor Ratio</w:t>
      </w:r>
    </w:p>
    <w:p w14:paraId="5DE245BC"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-3.408</w:t>
      </w:r>
    </w:p>
    <w:p w14:paraId="4C9A1A5B" w14:textId="77777777" w:rsidR="00AC2C61" w:rsidRPr="00AC2C61" w:rsidRDefault="00AC2C61" w:rsidP="00AC2C61">
      <w:pPr>
        <w:shd w:val="clear" w:color="auto" w:fill="26262A"/>
        <w:spacing w:after="0" w:line="525" w:lineRule="atLeast"/>
        <w:rPr>
          <w:rFonts w:ascii="Helvetica" w:eastAsia="Times New Roman" w:hAnsi="Helvetica" w:cs="Helvetica"/>
          <w:color w:val="EBEBEB"/>
          <w:sz w:val="20"/>
          <w:szCs w:val="20"/>
        </w:rPr>
      </w:pPr>
      <w:r w:rsidRPr="00AC2C61">
        <w:rPr>
          <w:rFonts w:ascii="Helvetica" w:eastAsia="Times New Roman" w:hAnsi="Helvetica" w:cs="Helvetica"/>
          <w:color w:val="EBEBEB"/>
          <w:sz w:val="20"/>
          <w:szCs w:val="20"/>
        </w:rPr>
        <w:t>Total Fees</w:t>
      </w:r>
    </w:p>
    <w:p w14:paraId="4EF205D3" w14:textId="77777777" w:rsidR="00AC2C61" w:rsidRPr="00AC2C61" w:rsidRDefault="00AC2C61" w:rsidP="00AC2C61">
      <w:pPr>
        <w:shd w:val="clear" w:color="auto" w:fill="26262A"/>
        <w:spacing w:after="0" w:line="360" w:lineRule="atLeast"/>
        <w:rPr>
          <w:rFonts w:ascii="Courier New" w:eastAsia="Times New Roman" w:hAnsi="Courier New" w:cs="Courier New"/>
          <w:color w:val="EBEBEB"/>
          <w:sz w:val="20"/>
          <w:szCs w:val="20"/>
        </w:rPr>
      </w:pPr>
      <w:r w:rsidRPr="00AC2C61">
        <w:rPr>
          <w:rFonts w:ascii="Courier New" w:eastAsia="Times New Roman" w:hAnsi="Courier New" w:cs="Courier New"/>
          <w:color w:val="EBEBEB"/>
          <w:sz w:val="20"/>
          <w:szCs w:val="20"/>
        </w:rPr>
        <w:t>$25079.18</w:t>
      </w:r>
    </w:p>
    <w:p w14:paraId="5113FDEC" w14:textId="266C9A21" w:rsidR="00AC2C61" w:rsidRDefault="00AC2C61" w:rsidP="00AC2C61"/>
    <w:p w14:paraId="2F619A2A" w14:textId="787FB182" w:rsidR="00BA1F7F" w:rsidRDefault="00BA1F7F" w:rsidP="00AC2C61">
      <w:pPr>
        <w:rPr>
          <w:u w:val="single"/>
        </w:rPr>
      </w:pPr>
      <w:r w:rsidRPr="00BA1F7F">
        <w:rPr>
          <w:u w:val="single"/>
        </w:rPr>
        <w:t>Summary:</w:t>
      </w:r>
    </w:p>
    <w:p w14:paraId="55C9D265" w14:textId="4EBAAC94" w:rsidR="003722E9" w:rsidRPr="003722E9" w:rsidRDefault="003722E9" w:rsidP="003722E9">
      <w:pPr>
        <w:jc w:val="both"/>
      </w:pPr>
      <w:r>
        <w:lastRenderedPageBreak/>
        <w:tab/>
        <w:t xml:space="preserve">Due to time constraints, more hypotheses on navigating long term downtrends could not be explored. Regardless, the algorithm met the client conditions of a passive, low-to-medium trading frequency strategy. </w:t>
      </w:r>
      <w:r>
        <w:t xml:space="preserve">In the final metrics, the algorithm showed </w:t>
      </w:r>
      <w:r>
        <w:t xml:space="preserve">mostly favorable </w:t>
      </w:r>
      <w:r>
        <w:t xml:space="preserve">statistics including, but not limited to: </w:t>
      </w:r>
      <w:r>
        <w:t>2,574</w:t>
      </w:r>
      <w:r>
        <w:t>.3</w:t>
      </w:r>
      <w:r>
        <w:t>3</w:t>
      </w:r>
      <w:r>
        <w:t>% total return over a 10-yr period, a 6</w:t>
      </w:r>
      <w:r>
        <w:t>3</w:t>
      </w:r>
      <w:r>
        <w:t>% win rate, positive profit/loss ratio</w:t>
      </w:r>
      <w:r>
        <w:t xml:space="preserve"> of 1.32</w:t>
      </w:r>
      <w:r>
        <w:t xml:space="preserve">, </w:t>
      </w:r>
      <w:r>
        <w:t>35.63</w:t>
      </w:r>
      <w:r>
        <w:t xml:space="preserve">% compounding annual return, and a </w:t>
      </w:r>
      <w:r>
        <w:t>0.96</w:t>
      </w:r>
      <w:r>
        <w:t xml:space="preserve"> Sharpe Ratio</w:t>
      </w:r>
      <w:r>
        <w:t xml:space="preserve"> (decent, but not great)</w:t>
      </w:r>
      <w:r>
        <w:t xml:space="preserve">; this effectively </w:t>
      </w:r>
      <w:r>
        <w:t xml:space="preserve">matched or </w:t>
      </w:r>
      <w:r>
        <w:t xml:space="preserve">outperformed benchmarks set by the buy-and-hold strategy for </w:t>
      </w:r>
      <w:r>
        <w:t>three of the four</w:t>
      </w:r>
      <w:r>
        <w:t xml:space="preserve"> equit</w:t>
      </w:r>
      <w:r>
        <w:t>ies</w:t>
      </w:r>
      <w:r>
        <w:t xml:space="preserve"> (</w:t>
      </w:r>
      <w:r>
        <w:t>all but TQQQ, which managed an 8466% return over the same period</w:t>
      </w:r>
      <w:r>
        <w:t xml:space="preserve">). </w:t>
      </w:r>
    </w:p>
    <w:p w14:paraId="7150E3DD" w14:textId="6A7B7B49" w:rsidR="00BA1F7F" w:rsidRDefault="00AF49F5" w:rsidP="00AC2C61">
      <w:pPr>
        <w:rPr>
          <w:u w:val="single"/>
        </w:rPr>
      </w:pPr>
      <w:r w:rsidRPr="00AF49F5">
        <w:rPr>
          <w:u w:val="single"/>
        </w:rPr>
        <w:t>Algorithm Continuance/Guidance:</w:t>
      </w:r>
    </w:p>
    <w:p w14:paraId="1E359157" w14:textId="60C5E040" w:rsidR="003722E9" w:rsidRPr="003722E9" w:rsidRDefault="003722E9" w:rsidP="00AC2C61">
      <w:r>
        <w:tab/>
      </w:r>
      <w:r w:rsidR="00F334BB">
        <w:t xml:space="preserve">Generating a signal that could provide faster insights into large market downtrends may help to preserve capital and provide greater returns over time (in other words, more extensive risk management). An EMA signal, </w:t>
      </w:r>
      <w:r w:rsidR="006F2C9B">
        <w:t>used as input in the</w:t>
      </w:r>
      <w:r w:rsidR="00F334BB">
        <w:t xml:space="preserve"> conditional </w:t>
      </w:r>
      <w:r w:rsidR="006F2C9B">
        <w:t xml:space="preserve">statement </w:t>
      </w:r>
      <w:r w:rsidR="00F334BB">
        <w:t xml:space="preserve">to stay out of the market, could be a better alternative to a straight strategy that compares the prices between </w:t>
      </w:r>
      <w:proofErr w:type="gramStart"/>
      <w:r w:rsidR="00F334BB">
        <w:t>90 day</w:t>
      </w:r>
      <w:proofErr w:type="gramEnd"/>
      <w:r w:rsidR="00F334BB">
        <w:t xml:space="preserve"> periods. This strategy may also be useful within sectors. For example, within big tech, not all companies share the same strength momentum, but are generally in an uptrend. Rotating between these stocks could be an appealing alternative to owning an ETF containing those stocks. While the strength of an ETF is </w:t>
      </w:r>
      <w:proofErr w:type="gramStart"/>
      <w:r w:rsidR="00F334BB">
        <w:t>it’s</w:t>
      </w:r>
      <w:proofErr w:type="gramEnd"/>
      <w:r w:rsidR="00F334BB">
        <w:t xml:space="preserve"> diversification, this same quality means it must endure downtrends for individual stocks, which bring down gains from stocks in large uptrends.</w:t>
      </w:r>
      <w:bookmarkStart w:id="0" w:name="_GoBack"/>
      <w:bookmarkEnd w:id="0"/>
    </w:p>
    <w:sectPr w:rsidR="003722E9" w:rsidRPr="003722E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E9D45" w14:textId="77777777" w:rsidR="00FF7B11" w:rsidRDefault="00FF7B11" w:rsidP="004D704E">
      <w:pPr>
        <w:spacing w:after="0" w:line="240" w:lineRule="auto"/>
      </w:pPr>
      <w:r>
        <w:separator/>
      </w:r>
    </w:p>
  </w:endnote>
  <w:endnote w:type="continuationSeparator" w:id="0">
    <w:p w14:paraId="2D1DAD78" w14:textId="77777777" w:rsidR="00FF7B11" w:rsidRDefault="00FF7B11" w:rsidP="004D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68F0" w14:textId="77777777" w:rsidR="00FF7B11" w:rsidRDefault="00FF7B11" w:rsidP="004D704E">
      <w:pPr>
        <w:spacing w:after="0" w:line="240" w:lineRule="auto"/>
      </w:pPr>
      <w:r>
        <w:separator/>
      </w:r>
    </w:p>
  </w:footnote>
  <w:footnote w:type="continuationSeparator" w:id="0">
    <w:p w14:paraId="1A317FA2" w14:textId="77777777" w:rsidR="00FF7B11" w:rsidRDefault="00FF7B11" w:rsidP="004D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D550C" w14:textId="25B75F21" w:rsidR="004D704E" w:rsidRDefault="006F2C9B">
    <w:pPr>
      <w:pStyle w:val="Header"/>
    </w:pPr>
    <w:r>
      <w:t xml:space="preserve">OAS </w:t>
    </w:r>
    <w:r w:rsidR="004D704E">
      <w:t>Algorithm #2 – Reallocation Strateg</w:t>
    </w:r>
    <w:r>
      <w:t>y</w:t>
    </w:r>
    <w:r w:rsidR="004D704E">
      <w:tab/>
    </w:r>
    <w:r>
      <w:tab/>
    </w:r>
    <w:r w:rsidR="004D704E">
      <w:t>Oliver Solorzano</w:t>
    </w:r>
  </w:p>
  <w:p w14:paraId="3E647FC8" w14:textId="77777777" w:rsidR="004D704E" w:rsidRDefault="004D704E">
    <w:pPr>
      <w:pStyle w:val="Header"/>
    </w:pPr>
    <w:r>
      <w:tab/>
    </w:r>
    <w:r>
      <w:tab/>
      <w:t>CS 467 Capstone</w:t>
    </w:r>
  </w:p>
  <w:p w14:paraId="3086EE01" w14:textId="77777777" w:rsidR="004D704E" w:rsidRDefault="004D704E">
    <w:pPr>
      <w:pStyle w:val="Header"/>
    </w:pPr>
    <w:r>
      <w:tab/>
    </w:r>
    <w:r>
      <w:tab/>
      <w:t>11/30/20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73114"/>
    <w:multiLevelType w:val="hybridMultilevel"/>
    <w:tmpl w:val="4566C19E"/>
    <w:lvl w:ilvl="0" w:tplc="DF069E6C">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FF35620"/>
    <w:multiLevelType w:val="hybridMultilevel"/>
    <w:tmpl w:val="28FCCAE4"/>
    <w:lvl w:ilvl="0" w:tplc="ACC460D4">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13704F"/>
    <w:multiLevelType w:val="hybridMultilevel"/>
    <w:tmpl w:val="D2E4136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859B0"/>
    <w:multiLevelType w:val="hybridMultilevel"/>
    <w:tmpl w:val="5D6EA0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E3"/>
    <w:rsid w:val="00056C3F"/>
    <w:rsid w:val="00081F93"/>
    <w:rsid w:val="00125EE3"/>
    <w:rsid w:val="00201A00"/>
    <w:rsid w:val="00253E1B"/>
    <w:rsid w:val="002A3E51"/>
    <w:rsid w:val="002D7A4F"/>
    <w:rsid w:val="00353E93"/>
    <w:rsid w:val="003722E9"/>
    <w:rsid w:val="003730F2"/>
    <w:rsid w:val="004D704E"/>
    <w:rsid w:val="004E1775"/>
    <w:rsid w:val="005E599D"/>
    <w:rsid w:val="00610168"/>
    <w:rsid w:val="006B0048"/>
    <w:rsid w:val="006F2C9B"/>
    <w:rsid w:val="00783C44"/>
    <w:rsid w:val="00811080"/>
    <w:rsid w:val="00845C5D"/>
    <w:rsid w:val="008C70FD"/>
    <w:rsid w:val="008F1504"/>
    <w:rsid w:val="00923C5A"/>
    <w:rsid w:val="00AC2C61"/>
    <w:rsid w:val="00AF49F5"/>
    <w:rsid w:val="00BA1F7F"/>
    <w:rsid w:val="00BF511F"/>
    <w:rsid w:val="00C12CC0"/>
    <w:rsid w:val="00D1346C"/>
    <w:rsid w:val="00D974B1"/>
    <w:rsid w:val="00DC0E9C"/>
    <w:rsid w:val="00DE4EE5"/>
    <w:rsid w:val="00F334BB"/>
    <w:rsid w:val="00FF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37B"/>
  <w15:chartTrackingRefBased/>
  <w15:docId w15:val="{B0CF3273-9691-4B8B-8C82-F70F8DC1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04E"/>
  </w:style>
  <w:style w:type="paragraph" w:styleId="Footer">
    <w:name w:val="footer"/>
    <w:basedOn w:val="Normal"/>
    <w:link w:val="FooterChar"/>
    <w:uiPriority w:val="99"/>
    <w:unhideWhenUsed/>
    <w:rsid w:val="004D7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04E"/>
  </w:style>
  <w:style w:type="paragraph" w:styleId="ListParagraph">
    <w:name w:val="List Paragraph"/>
    <w:basedOn w:val="Normal"/>
    <w:uiPriority w:val="34"/>
    <w:qFormat/>
    <w:rsid w:val="002A3E51"/>
    <w:pPr>
      <w:ind w:left="720"/>
      <w:contextualSpacing/>
    </w:pPr>
  </w:style>
  <w:style w:type="table" w:styleId="TableGrid">
    <w:name w:val="Table Grid"/>
    <w:basedOn w:val="TableNormal"/>
    <w:uiPriority w:val="39"/>
    <w:rsid w:val="00D9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C2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140583">
      <w:bodyDiv w:val="1"/>
      <w:marLeft w:val="0"/>
      <w:marRight w:val="0"/>
      <w:marTop w:val="0"/>
      <w:marBottom w:val="0"/>
      <w:divBdr>
        <w:top w:val="none" w:sz="0" w:space="0" w:color="auto"/>
        <w:left w:val="none" w:sz="0" w:space="0" w:color="auto"/>
        <w:bottom w:val="none" w:sz="0" w:space="0" w:color="auto"/>
        <w:right w:val="none" w:sz="0" w:space="0" w:color="auto"/>
      </w:divBdr>
      <w:divsChild>
        <w:div w:id="513810185">
          <w:marLeft w:val="0"/>
          <w:marRight w:val="0"/>
          <w:marTop w:val="0"/>
          <w:marBottom w:val="0"/>
          <w:divBdr>
            <w:top w:val="none" w:sz="0" w:space="0" w:color="auto"/>
            <w:left w:val="none" w:sz="0" w:space="0" w:color="auto"/>
            <w:bottom w:val="single" w:sz="6" w:space="0" w:color="3E3E43"/>
            <w:right w:val="none" w:sz="0" w:space="0" w:color="auto"/>
          </w:divBdr>
        </w:div>
        <w:div w:id="1404986777">
          <w:marLeft w:val="0"/>
          <w:marRight w:val="0"/>
          <w:marTop w:val="0"/>
          <w:marBottom w:val="0"/>
          <w:divBdr>
            <w:top w:val="none" w:sz="0" w:space="0" w:color="auto"/>
            <w:left w:val="none" w:sz="0" w:space="0" w:color="auto"/>
            <w:bottom w:val="single" w:sz="6" w:space="0" w:color="3E3E43"/>
            <w:right w:val="none" w:sz="0" w:space="0" w:color="auto"/>
          </w:divBdr>
          <w:divsChild>
            <w:div w:id="1286883403">
              <w:marLeft w:val="0"/>
              <w:marRight w:val="0"/>
              <w:marTop w:val="0"/>
              <w:marBottom w:val="0"/>
              <w:divBdr>
                <w:top w:val="none" w:sz="0" w:space="0" w:color="auto"/>
                <w:left w:val="none" w:sz="0" w:space="0" w:color="auto"/>
                <w:bottom w:val="single" w:sz="6" w:space="0" w:color="3E3E43"/>
                <w:right w:val="none" w:sz="0" w:space="0" w:color="auto"/>
              </w:divBdr>
              <w:divsChild>
                <w:div w:id="861284355">
                  <w:marLeft w:val="0"/>
                  <w:marRight w:val="0"/>
                  <w:marTop w:val="0"/>
                  <w:marBottom w:val="0"/>
                  <w:divBdr>
                    <w:top w:val="none" w:sz="0" w:space="0" w:color="auto"/>
                    <w:left w:val="none" w:sz="0" w:space="0" w:color="auto"/>
                    <w:bottom w:val="none" w:sz="0" w:space="0" w:color="auto"/>
                    <w:right w:val="none" w:sz="0" w:space="0" w:color="auto"/>
                  </w:divBdr>
                </w:div>
                <w:div w:id="333533078">
                  <w:marLeft w:val="0"/>
                  <w:marRight w:val="0"/>
                  <w:marTop w:val="0"/>
                  <w:marBottom w:val="0"/>
                  <w:divBdr>
                    <w:top w:val="none" w:sz="0" w:space="0" w:color="auto"/>
                    <w:left w:val="none" w:sz="0" w:space="0" w:color="auto"/>
                    <w:bottom w:val="none" w:sz="0" w:space="0" w:color="auto"/>
                    <w:right w:val="none" w:sz="0" w:space="0" w:color="auto"/>
                  </w:divBdr>
                </w:div>
              </w:divsChild>
            </w:div>
            <w:div w:id="539320884">
              <w:marLeft w:val="0"/>
              <w:marRight w:val="0"/>
              <w:marTop w:val="0"/>
              <w:marBottom w:val="0"/>
              <w:divBdr>
                <w:top w:val="none" w:sz="0" w:space="0" w:color="auto"/>
                <w:left w:val="none" w:sz="0" w:space="0" w:color="auto"/>
                <w:bottom w:val="single" w:sz="6" w:space="0" w:color="3E3E43"/>
                <w:right w:val="none" w:sz="0" w:space="0" w:color="auto"/>
              </w:divBdr>
              <w:divsChild>
                <w:div w:id="152837455">
                  <w:marLeft w:val="0"/>
                  <w:marRight w:val="0"/>
                  <w:marTop w:val="0"/>
                  <w:marBottom w:val="0"/>
                  <w:divBdr>
                    <w:top w:val="none" w:sz="0" w:space="0" w:color="auto"/>
                    <w:left w:val="none" w:sz="0" w:space="0" w:color="auto"/>
                    <w:bottom w:val="none" w:sz="0" w:space="0" w:color="auto"/>
                    <w:right w:val="none" w:sz="0" w:space="0" w:color="auto"/>
                  </w:divBdr>
                </w:div>
                <w:div w:id="1990936095">
                  <w:marLeft w:val="0"/>
                  <w:marRight w:val="0"/>
                  <w:marTop w:val="0"/>
                  <w:marBottom w:val="0"/>
                  <w:divBdr>
                    <w:top w:val="none" w:sz="0" w:space="0" w:color="auto"/>
                    <w:left w:val="none" w:sz="0" w:space="0" w:color="auto"/>
                    <w:bottom w:val="none" w:sz="0" w:space="0" w:color="auto"/>
                    <w:right w:val="none" w:sz="0" w:space="0" w:color="auto"/>
                  </w:divBdr>
                </w:div>
              </w:divsChild>
            </w:div>
            <w:div w:id="553589685">
              <w:marLeft w:val="0"/>
              <w:marRight w:val="0"/>
              <w:marTop w:val="0"/>
              <w:marBottom w:val="0"/>
              <w:divBdr>
                <w:top w:val="none" w:sz="0" w:space="0" w:color="auto"/>
                <w:left w:val="none" w:sz="0" w:space="0" w:color="auto"/>
                <w:bottom w:val="single" w:sz="6" w:space="0" w:color="3E3E43"/>
                <w:right w:val="none" w:sz="0" w:space="0" w:color="auto"/>
              </w:divBdr>
              <w:divsChild>
                <w:div w:id="353658008">
                  <w:marLeft w:val="0"/>
                  <w:marRight w:val="0"/>
                  <w:marTop w:val="0"/>
                  <w:marBottom w:val="0"/>
                  <w:divBdr>
                    <w:top w:val="none" w:sz="0" w:space="0" w:color="auto"/>
                    <w:left w:val="none" w:sz="0" w:space="0" w:color="auto"/>
                    <w:bottom w:val="none" w:sz="0" w:space="0" w:color="auto"/>
                    <w:right w:val="none" w:sz="0" w:space="0" w:color="auto"/>
                  </w:divBdr>
                </w:div>
                <w:div w:id="1003823451">
                  <w:marLeft w:val="0"/>
                  <w:marRight w:val="0"/>
                  <w:marTop w:val="0"/>
                  <w:marBottom w:val="0"/>
                  <w:divBdr>
                    <w:top w:val="none" w:sz="0" w:space="0" w:color="auto"/>
                    <w:left w:val="none" w:sz="0" w:space="0" w:color="auto"/>
                    <w:bottom w:val="none" w:sz="0" w:space="0" w:color="auto"/>
                    <w:right w:val="none" w:sz="0" w:space="0" w:color="auto"/>
                  </w:divBdr>
                </w:div>
              </w:divsChild>
            </w:div>
            <w:div w:id="765997488">
              <w:marLeft w:val="0"/>
              <w:marRight w:val="0"/>
              <w:marTop w:val="0"/>
              <w:marBottom w:val="0"/>
              <w:divBdr>
                <w:top w:val="none" w:sz="0" w:space="0" w:color="auto"/>
                <w:left w:val="none" w:sz="0" w:space="0" w:color="auto"/>
                <w:bottom w:val="single" w:sz="6" w:space="0" w:color="3E3E43"/>
                <w:right w:val="none" w:sz="0" w:space="0" w:color="auto"/>
              </w:divBdr>
              <w:divsChild>
                <w:div w:id="1829977307">
                  <w:marLeft w:val="0"/>
                  <w:marRight w:val="0"/>
                  <w:marTop w:val="0"/>
                  <w:marBottom w:val="0"/>
                  <w:divBdr>
                    <w:top w:val="none" w:sz="0" w:space="0" w:color="auto"/>
                    <w:left w:val="none" w:sz="0" w:space="0" w:color="auto"/>
                    <w:bottom w:val="none" w:sz="0" w:space="0" w:color="auto"/>
                    <w:right w:val="none" w:sz="0" w:space="0" w:color="auto"/>
                  </w:divBdr>
                </w:div>
                <w:div w:id="1048338443">
                  <w:marLeft w:val="0"/>
                  <w:marRight w:val="0"/>
                  <w:marTop w:val="0"/>
                  <w:marBottom w:val="0"/>
                  <w:divBdr>
                    <w:top w:val="none" w:sz="0" w:space="0" w:color="auto"/>
                    <w:left w:val="none" w:sz="0" w:space="0" w:color="auto"/>
                    <w:bottom w:val="none" w:sz="0" w:space="0" w:color="auto"/>
                    <w:right w:val="none" w:sz="0" w:space="0" w:color="auto"/>
                  </w:divBdr>
                </w:div>
              </w:divsChild>
            </w:div>
            <w:div w:id="1671173330">
              <w:marLeft w:val="0"/>
              <w:marRight w:val="0"/>
              <w:marTop w:val="0"/>
              <w:marBottom w:val="0"/>
              <w:divBdr>
                <w:top w:val="none" w:sz="0" w:space="0" w:color="auto"/>
                <w:left w:val="none" w:sz="0" w:space="0" w:color="auto"/>
                <w:bottom w:val="single" w:sz="6" w:space="0" w:color="3E3E43"/>
                <w:right w:val="none" w:sz="0" w:space="0" w:color="auto"/>
              </w:divBdr>
              <w:divsChild>
                <w:div w:id="952173636">
                  <w:marLeft w:val="0"/>
                  <w:marRight w:val="0"/>
                  <w:marTop w:val="0"/>
                  <w:marBottom w:val="0"/>
                  <w:divBdr>
                    <w:top w:val="none" w:sz="0" w:space="0" w:color="auto"/>
                    <w:left w:val="none" w:sz="0" w:space="0" w:color="auto"/>
                    <w:bottom w:val="none" w:sz="0" w:space="0" w:color="auto"/>
                    <w:right w:val="none" w:sz="0" w:space="0" w:color="auto"/>
                  </w:divBdr>
                </w:div>
                <w:div w:id="635453414">
                  <w:marLeft w:val="0"/>
                  <w:marRight w:val="0"/>
                  <w:marTop w:val="0"/>
                  <w:marBottom w:val="0"/>
                  <w:divBdr>
                    <w:top w:val="none" w:sz="0" w:space="0" w:color="auto"/>
                    <w:left w:val="none" w:sz="0" w:space="0" w:color="auto"/>
                    <w:bottom w:val="none" w:sz="0" w:space="0" w:color="auto"/>
                    <w:right w:val="none" w:sz="0" w:space="0" w:color="auto"/>
                  </w:divBdr>
                </w:div>
              </w:divsChild>
            </w:div>
            <w:div w:id="1353146964">
              <w:marLeft w:val="0"/>
              <w:marRight w:val="0"/>
              <w:marTop w:val="0"/>
              <w:marBottom w:val="0"/>
              <w:divBdr>
                <w:top w:val="none" w:sz="0" w:space="0" w:color="auto"/>
                <w:left w:val="none" w:sz="0" w:space="0" w:color="auto"/>
                <w:bottom w:val="single" w:sz="6" w:space="0" w:color="3E3E43"/>
                <w:right w:val="none" w:sz="0" w:space="0" w:color="auto"/>
              </w:divBdr>
              <w:divsChild>
                <w:div w:id="975719351">
                  <w:marLeft w:val="0"/>
                  <w:marRight w:val="0"/>
                  <w:marTop w:val="0"/>
                  <w:marBottom w:val="0"/>
                  <w:divBdr>
                    <w:top w:val="none" w:sz="0" w:space="0" w:color="auto"/>
                    <w:left w:val="none" w:sz="0" w:space="0" w:color="auto"/>
                    <w:bottom w:val="none" w:sz="0" w:space="0" w:color="auto"/>
                    <w:right w:val="none" w:sz="0" w:space="0" w:color="auto"/>
                  </w:divBdr>
                </w:div>
                <w:div w:id="1394500317">
                  <w:marLeft w:val="0"/>
                  <w:marRight w:val="0"/>
                  <w:marTop w:val="0"/>
                  <w:marBottom w:val="0"/>
                  <w:divBdr>
                    <w:top w:val="none" w:sz="0" w:space="0" w:color="auto"/>
                    <w:left w:val="none" w:sz="0" w:space="0" w:color="auto"/>
                    <w:bottom w:val="none" w:sz="0" w:space="0" w:color="auto"/>
                    <w:right w:val="none" w:sz="0" w:space="0" w:color="auto"/>
                  </w:divBdr>
                </w:div>
              </w:divsChild>
            </w:div>
            <w:div w:id="1034233962">
              <w:marLeft w:val="0"/>
              <w:marRight w:val="0"/>
              <w:marTop w:val="0"/>
              <w:marBottom w:val="0"/>
              <w:divBdr>
                <w:top w:val="none" w:sz="0" w:space="0" w:color="auto"/>
                <w:left w:val="none" w:sz="0" w:space="0" w:color="auto"/>
                <w:bottom w:val="single" w:sz="6" w:space="0" w:color="3E3E43"/>
                <w:right w:val="none" w:sz="0" w:space="0" w:color="auto"/>
              </w:divBdr>
              <w:divsChild>
                <w:div w:id="1225752258">
                  <w:marLeft w:val="0"/>
                  <w:marRight w:val="0"/>
                  <w:marTop w:val="0"/>
                  <w:marBottom w:val="0"/>
                  <w:divBdr>
                    <w:top w:val="none" w:sz="0" w:space="0" w:color="auto"/>
                    <w:left w:val="none" w:sz="0" w:space="0" w:color="auto"/>
                    <w:bottom w:val="none" w:sz="0" w:space="0" w:color="auto"/>
                    <w:right w:val="none" w:sz="0" w:space="0" w:color="auto"/>
                  </w:divBdr>
                </w:div>
                <w:div w:id="302663973">
                  <w:marLeft w:val="0"/>
                  <w:marRight w:val="0"/>
                  <w:marTop w:val="0"/>
                  <w:marBottom w:val="0"/>
                  <w:divBdr>
                    <w:top w:val="none" w:sz="0" w:space="0" w:color="auto"/>
                    <w:left w:val="none" w:sz="0" w:space="0" w:color="auto"/>
                    <w:bottom w:val="none" w:sz="0" w:space="0" w:color="auto"/>
                    <w:right w:val="none" w:sz="0" w:space="0" w:color="auto"/>
                  </w:divBdr>
                </w:div>
              </w:divsChild>
            </w:div>
            <w:div w:id="1334840119">
              <w:marLeft w:val="0"/>
              <w:marRight w:val="0"/>
              <w:marTop w:val="0"/>
              <w:marBottom w:val="0"/>
              <w:divBdr>
                <w:top w:val="none" w:sz="0" w:space="0" w:color="auto"/>
                <w:left w:val="none" w:sz="0" w:space="0" w:color="auto"/>
                <w:bottom w:val="single" w:sz="6" w:space="0" w:color="3E3E43"/>
                <w:right w:val="none" w:sz="0" w:space="0" w:color="auto"/>
              </w:divBdr>
              <w:divsChild>
                <w:div w:id="1841113163">
                  <w:marLeft w:val="0"/>
                  <w:marRight w:val="0"/>
                  <w:marTop w:val="0"/>
                  <w:marBottom w:val="0"/>
                  <w:divBdr>
                    <w:top w:val="none" w:sz="0" w:space="0" w:color="auto"/>
                    <w:left w:val="none" w:sz="0" w:space="0" w:color="auto"/>
                    <w:bottom w:val="none" w:sz="0" w:space="0" w:color="auto"/>
                    <w:right w:val="none" w:sz="0" w:space="0" w:color="auto"/>
                  </w:divBdr>
                </w:div>
                <w:div w:id="1194995327">
                  <w:marLeft w:val="0"/>
                  <w:marRight w:val="0"/>
                  <w:marTop w:val="0"/>
                  <w:marBottom w:val="0"/>
                  <w:divBdr>
                    <w:top w:val="none" w:sz="0" w:space="0" w:color="auto"/>
                    <w:left w:val="none" w:sz="0" w:space="0" w:color="auto"/>
                    <w:bottom w:val="none" w:sz="0" w:space="0" w:color="auto"/>
                    <w:right w:val="none" w:sz="0" w:space="0" w:color="auto"/>
                  </w:divBdr>
                </w:div>
              </w:divsChild>
            </w:div>
            <w:div w:id="1817988818">
              <w:marLeft w:val="0"/>
              <w:marRight w:val="0"/>
              <w:marTop w:val="0"/>
              <w:marBottom w:val="0"/>
              <w:divBdr>
                <w:top w:val="none" w:sz="0" w:space="0" w:color="auto"/>
                <w:left w:val="none" w:sz="0" w:space="0" w:color="auto"/>
                <w:bottom w:val="single" w:sz="6" w:space="0" w:color="3E3E43"/>
                <w:right w:val="none" w:sz="0" w:space="0" w:color="auto"/>
              </w:divBdr>
              <w:divsChild>
                <w:div w:id="915359003">
                  <w:marLeft w:val="0"/>
                  <w:marRight w:val="0"/>
                  <w:marTop w:val="0"/>
                  <w:marBottom w:val="0"/>
                  <w:divBdr>
                    <w:top w:val="none" w:sz="0" w:space="0" w:color="auto"/>
                    <w:left w:val="none" w:sz="0" w:space="0" w:color="auto"/>
                    <w:bottom w:val="none" w:sz="0" w:space="0" w:color="auto"/>
                    <w:right w:val="none" w:sz="0" w:space="0" w:color="auto"/>
                  </w:divBdr>
                </w:div>
                <w:div w:id="655456381">
                  <w:marLeft w:val="0"/>
                  <w:marRight w:val="0"/>
                  <w:marTop w:val="0"/>
                  <w:marBottom w:val="0"/>
                  <w:divBdr>
                    <w:top w:val="none" w:sz="0" w:space="0" w:color="auto"/>
                    <w:left w:val="none" w:sz="0" w:space="0" w:color="auto"/>
                    <w:bottom w:val="none" w:sz="0" w:space="0" w:color="auto"/>
                    <w:right w:val="none" w:sz="0" w:space="0" w:color="auto"/>
                  </w:divBdr>
                </w:div>
              </w:divsChild>
            </w:div>
            <w:div w:id="1785882283">
              <w:marLeft w:val="0"/>
              <w:marRight w:val="0"/>
              <w:marTop w:val="0"/>
              <w:marBottom w:val="0"/>
              <w:divBdr>
                <w:top w:val="none" w:sz="0" w:space="0" w:color="auto"/>
                <w:left w:val="none" w:sz="0" w:space="0" w:color="auto"/>
                <w:bottom w:val="single" w:sz="6" w:space="0" w:color="3E3E43"/>
                <w:right w:val="none" w:sz="0" w:space="0" w:color="auto"/>
              </w:divBdr>
              <w:divsChild>
                <w:div w:id="1679383245">
                  <w:marLeft w:val="0"/>
                  <w:marRight w:val="0"/>
                  <w:marTop w:val="0"/>
                  <w:marBottom w:val="0"/>
                  <w:divBdr>
                    <w:top w:val="none" w:sz="0" w:space="0" w:color="auto"/>
                    <w:left w:val="none" w:sz="0" w:space="0" w:color="auto"/>
                    <w:bottom w:val="none" w:sz="0" w:space="0" w:color="auto"/>
                    <w:right w:val="none" w:sz="0" w:space="0" w:color="auto"/>
                  </w:divBdr>
                </w:div>
                <w:div w:id="503789798">
                  <w:marLeft w:val="0"/>
                  <w:marRight w:val="0"/>
                  <w:marTop w:val="0"/>
                  <w:marBottom w:val="0"/>
                  <w:divBdr>
                    <w:top w:val="none" w:sz="0" w:space="0" w:color="auto"/>
                    <w:left w:val="none" w:sz="0" w:space="0" w:color="auto"/>
                    <w:bottom w:val="none" w:sz="0" w:space="0" w:color="auto"/>
                    <w:right w:val="none" w:sz="0" w:space="0" w:color="auto"/>
                  </w:divBdr>
                </w:div>
              </w:divsChild>
            </w:div>
            <w:div w:id="1614940359">
              <w:marLeft w:val="0"/>
              <w:marRight w:val="0"/>
              <w:marTop w:val="0"/>
              <w:marBottom w:val="0"/>
              <w:divBdr>
                <w:top w:val="none" w:sz="0" w:space="0" w:color="auto"/>
                <w:left w:val="none" w:sz="0" w:space="0" w:color="auto"/>
                <w:bottom w:val="single" w:sz="6" w:space="0" w:color="3E3E43"/>
                <w:right w:val="none" w:sz="0" w:space="0" w:color="auto"/>
              </w:divBdr>
              <w:divsChild>
                <w:div w:id="1407798146">
                  <w:marLeft w:val="0"/>
                  <w:marRight w:val="0"/>
                  <w:marTop w:val="0"/>
                  <w:marBottom w:val="0"/>
                  <w:divBdr>
                    <w:top w:val="none" w:sz="0" w:space="0" w:color="auto"/>
                    <w:left w:val="none" w:sz="0" w:space="0" w:color="auto"/>
                    <w:bottom w:val="none" w:sz="0" w:space="0" w:color="auto"/>
                    <w:right w:val="none" w:sz="0" w:space="0" w:color="auto"/>
                  </w:divBdr>
                </w:div>
                <w:div w:id="1730156058">
                  <w:marLeft w:val="0"/>
                  <w:marRight w:val="0"/>
                  <w:marTop w:val="0"/>
                  <w:marBottom w:val="0"/>
                  <w:divBdr>
                    <w:top w:val="none" w:sz="0" w:space="0" w:color="auto"/>
                    <w:left w:val="none" w:sz="0" w:space="0" w:color="auto"/>
                    <w:bottom w:val="none" w:sz="0" w:space="0" w:color="auto"/>
                    <w:right w:val="none" w:sz="0" w:space="0" w:color="auto"/>
                  </w:divBdr>
                </w:div>
              </w:divsChild>
            </w:div>
            <w:div w:id="1303346616">
              <w:marLeft w:val="0"/>
              <w:marRight w:val="0"/>
              <w:marTop w:val="0"/>
              <w:marBottom w:val="0"/>
              <w:divBdr>
                <w:top w:val="none" w:sz="0" w:space="0" w:color="auto"/>
                <w:left w:val="none" w:sz="0" w:space="0" w:color="auto"/>
                <w:bottom w:val="single" w:sz="6" w:space="0" w:color="3E3E43"/>
                <w:right w:val="none" w:sz="0" w:space="0" w:color="auto"/>
              </w:divBdr>
              <w:divsChild>
                <w:div w:id="894003467">
                  <w:marLeft w:val="0"/>
                  <w:marRight w:val="0"/>
                  <w:marTop w:val="0"/>
                  <w:marBottom w:val="0"/>
                  <w:divBdr>
                    <w:top w:val="none" w:sz="0" w:space="0" w:color="auto"/>
                    <w:left w:val="none" w:sz="0" w:space="0" w:color="auto"/>
                    <w:bottom w:val="none" w:sz="0" w:space="0" w:color="auto"/>
                    <w:right w:val="none" w:sz="0" w:space="0" w:color="auto"/>
                  </w:divBdr>
                </w:div>
                <w:div w:id="1599675162">
                  <w:marLeft w:val="0"/>
                  <w:marRight w:val="0"/>
                  <w:marTop w:val="0"/>
                  <w:marBottom w:val="0"/>
                  <w:divBdr>
                    <w:top w:val="none" w:sz="0" w:space="0" w:color="auto"/>
                    <w:left w:val="none" w:sz="0" w:space="0" w:color="auto"/>
                    <w:bottom w:val="none" w:sz="0" w:space="0" w:color="auto"/>
                    <w:right w:val="none" w:sz="0" w:space="0" w:color="auto"/>
                  </w:divBdr>
                </w:div>
              </w:divsChild>
            </w:div>
            <w:div w:id="1790660956">
              <w:marLeft w:val="0"/>
              <w:marRight w:val="0"/>
              <w:marTop w:val="0"/>
              <w:marBottom w:val="0"/>
              <w:divBdr>
                <w:top w:val="none" w:sz="0" w:space="0" w:color="auto"/>
                <w:left w:val="none" w:sz="0" w:space="0" w:color="auto"/>
                <w:bottom w:val="single" w:sz="6" w:space="0" w:color="3E3E43"/>
                <w:right w:val="none" w:sz="0" w:space="0" w:color="auto"/>
              </w:divBdr>
              <w:divsChild>
                <w:div w:id="423303148">
                  <w:marLeft w:val="0"/>
                  <w:marRight w:val="0"/>
                  <w:marTop w:val="0"/>
                  <w:marBottom w:val="0"/>
                  <w:divBdr>
                    <w:top w:val="none" w:sz="0" w:space="0" w:color="auto"/>
                    <w:left w:val="none" w:sz="0" w:space="0" w:color="auto"/>
                    <w:bottom w:val="none" w:sz="0" w:space="0" w:color="auto"/>
                    <w:right w:val="none" w:sz="0" w:space="0" w:color="auto"/>
                  </w:divBdr>
                </w:div>
                <w:div w:id="909119275">
                  <w:marLeft w:val="0"/>
                  <w:marRight w:val="0"/>
                  <w:marTop w:val="0"/>
                  <w:marBottom w:val="0"/>
                  <w:divBdr>
                    <w:top w:val="none" w:sz="0" w:space="0" w:color="auto"/>
                    <w:left w:val="none" w:sz="0" w:space="0" w:color="auto"/>
                    <w:bottom w:val="none" w:sz="0" w:space="0" w:color="auto"/>
                    <w:right w:val="none" w:sz="0" w:space="0" w:color="auto"/>
                  </w:divBdr>
                </w:div>
              </w:divsChild>
            </w:div>
            <w:div w:id="865027333">
              <w:marLeft w:val="0"/>
              <w:marRight w:val="0"/>
              <w:marTop w:val="0"/>
              <w:marBottom w:val="0"/>
              <w:divBdr>
                <w:top w:val="none" w:sz="0" w:space="0" w:color="auto"/>
                <w:left w:val="none" w:sz="0" w:space="0" w:color="auto"/>
                <w:bottom w:val="single" w:sz="6" w:space="0" w:color="3E3E43"/>
                <w:right w:val="none" w:sz="0" w:space="0" w:color="auto"/>
              </w:divBdr>
              <w:divsChild>
                <w:div w:id="1342586314">
                  <w:marLeft w:val="0"/>
                  <w:marRight w:val="0"/>
                  <w:marTop w:val="0"/>
                  <w:marBottom w:val="0"/>
                  <w:divBdr>
                    <w:top w:val="none" w:sz="0" w:space="0" w:color="auto"/>
                    <w:left w:val="none" w:sz="0" w:space="0" w:color="auto"/>
                    <w:bottom w:val="none" w:sz="0" w:space="0" w:color="auto"/>
                    <w:right w:val="none" w:sz="0" w:space="0" w:color="auto"/>
                  </w:divBdr>
                </w:div>
                <w:div w:id="208105985">
                  <w:marLeft w:val="0"/>
                  <w:marRight w:val="0"/>
                  <w:marTop w:val="0"/>
                  <w:marBottom w:val="0"/>
                  <w:divBdr>
                    <w:top w:val="none" w:sz="0" w:space="0" w:color="auto"/>
                    <w:left w:val="none" w:sz="0" w:space="0" w:color="auto"/>
                    <w:bottom w:val="none" w:sz="0" w:space="0" w:color="auto"/>
                    <w:right w:val="none" w:sz="0" w:space="0" w:color="auto"/>
                  </w:divBdr>
                </w:div>
              </w:divsChild>
            </w:div>
            <w:div w:id="1709065368">
              <w:marLeft w:val="0"/>
              <w:marRight w:val="0"/>
              <w:marTop w:val="0"/>
              <w:marBottom w:val="0"/>
              <w:divBdr>
                <w:top w:val="none" w:sz="0" w:space="0" w:color="auto"/>
                <w:left w:val="none" w:sz="0" w:space="0" w:color="auto"/>
                <w:bottom w:val="single" w:sz="6" w:space="0" w:color="3E3E43"/>
                <w:right w:val="none" w:sz="0" w:space="0" w:color="auto"/>
              </w:divBdr>
              <w:divsChild>
                <w:div w:id="1908026038">
                  <w:marLeft w:val="0"/>
                  <w:marRight w:val="0"/>
                  <w:marTop w:val="0"/>
                  <w:marBottom w:val="0"/>
                  <w:divBdr>
                    <w:top w:val="none" w:sz="0" w:space="0" w:color="auto"/>
                    <w:left w:val="none" w:sz="0" w:space="0" w:color="auto"/>
                    <w:bottom w:val="none" w:sz="0" w:space="0" w:color="auto"/>
                    <w:right w:val="none" w:sz="0" w:space="0" w:color="auto"/>
                  </w:divBdr>
                </w:div>
                <w:div w:id="696931079">
                  <w:marLeft w:val="0"/>
                  <w:marRight w:val="0"/>
                  <w:marTop w:val="0"/>
                  <w:marBottom w:val="0"/>
                  <w:divBdr>
                    <w:top w:val="none" w:sz="0" w:space="0" w:color="auto"/>
                    <w:left w:val="none" w:sz="0" w:space="0" w:color="auto"/>
                    <w:bottom w:val="none" w:sz="0" w:space="0" w:color="auto"/>
                    <w:right w:val="none" w:sz="0" w:space="0" w:color="auto"/>
                  </w:divBdr>
                </w:div>
              </w:divsChild>
            </w:div>
            <w:div w:id="1274510250">
              <w:marLeft w:val="0"/>
              <w:marRight w:val="0"/>
              <w:marTop w:val="0"/>
              <w:marBottom w:val="0"/>
              <w:divBdr>
                <w:top w:val="none" w:sz="0" w:space="0" w:color="auto"/>
                <w:left w:val="none" w:sz="0" w:space="0" w:color="auto"/>
                <w:bottom w:val="single" w:sz="6" w:space="0" w:color="3E3E43"/>
                <w:right w:val="none" w:sz="0" w:space="0" w:color="auto"/>
              </w:divBdr>
              <w:divsChild>
                <w:div w:id="565410175">
                  <w:marLeft w:val="0"/>
                  <w:marRight w:val="0"/>
                  <w:marTop w:val="0"/>
                  <w:marBottom w:val="0"/>
                  <w:divBdr>
                    <w:top w:val="none" w:sz="0" w:space="0" w:color="auto"/>
                    <w:left w:val="none" w:sz="0" w:space="0" w:color="auto"/>
                    <w:bottom w:val="none" w:sz="0" w:space="0" w:color="auto"/>
                    <w:right w:val="none" w:sz="0" w:space="0" w:color="auto"/>
                  </w:divBdr>
                </w:div>
                <w:div w:id="374818312">
                  <w:marLeft w:val="0"/>
                  <w:marRight w:val="0"/>
                  <w:marTop w:val="0"/>
                  <w:marBottom w:val="0"/>
                  <w:divBdr>
                    <w:top w:val="none" w:sz="0" w:space="0" w:color="auto"/>
                    <w:left w:val="none" w:sz="0" w:space="0" w:color="auto"/>
                    <w:bottom w:val="none" w:sz="0" w:space="0" w:color="auto"/>
                    <w:right w:val="none" w:sz="0" w:space="0" w:color="auto"/>
                  </w:divBdr>
                </w:div>
              </w:divsChild>
            </w:div>
            <w:div w:id="1084106232">
              <w:marLeft w:val="0"/>
              <w:marRight w:val="0"/>
              <w:marTop w:val="0"/>
              <w:marBottom w:val="0"/>
              <w:divBdr>
                <w:top w:val="none" w:sz="0" w:space="0" w:color="auto"/>
                <w:left w:val="none" w:sz="0" w:space="0" w:color="auto"/>
                <w:bottom w:val="single" w:sz="6" w:space="0" w:color="3E3E43"/>
                <w:right w:val="none" w:sz="0" w:space="0" w:color="auto"/>
              </w:divBdr>
              <w:divsChild>
                <w:div w:id="1307860953">
                  <w:marLeft w:val="0"/>
                  <w:marRight w:val="0"/>
                  <w:marTop w:val="0"/>
                  <w:marBottom w:val="0"/>
                  <w:divBdr>
                    <w:top w:val="none" w:sz="0" w:space="0" w:color="auto"/>
                    <w:left w:val="none" w:sz="0" w:space="0" w:color="auto"/>
                    <w:bottom w:val="none" w:sz="0" w:space="0" w:color="auto"/>
                    <w:right w:val="none" w:sz="0" w:space="0" w:color="auto"/>
                  </w:divBdr>
                </w:div>
                <w:div w:id="853298463">
                  <w:marLeft w:val="0"/>
                  <w:marRight w:val="0"/>
                  <w:marTop w:val="0"/>
                  <w:marBottom w:val="0"/>
                  <w:divBdr>
                    <w:top w:val="none" w:sz="0" w:space="0" w:color="auto"/>
                    <w:left w:val="none" w:sz="0" w:space="0" w:color="auto"/>
                    <w:bottom w:val="none" w:sz="0" w:space="0" w:color="auto"/>
                    <w:right w:val="none" w:sz="0" w:space="0" w:color="auto"/>
                  </w:divBdr>
                </w:div>
              </w:divsChild>
            </w:div>
            <w:div w:id="1352418165">
              <w:marLeft w:val="0"/>
              <w:marRight w:val="0"/>
              <w:marTop w:val="0"/>
              <w:marBottom w:val="0"/>
              <w:divBdr>
                <w:top w:val="none" w:sz="0" w:space="0" w:color="auto"/>
                <w:left w:val="none" w:sz="0" w:space="0" w:color="auto"/>
                <w:bottom w:val="single" w:sz="6" w:space="0" w:color="3E3E43"/>
                <w:right w:val="none" w:sz="0" w:space="0" w:color="auto"/>
              </w:divBdr>
              <w:divsChild>
                <w:div w:id="939602841">
                  <w:marLeft w:val="0"/>
                  <w:marRight w:val="0"/>
                  <w:marTop w:val="0"/>
                  <w:marBottom w:val="0"/>
                  <w:divBdr>
                    <w:top w:val="none" w:sz="0" w:space="0" w:color="auto"/>
                    <w:left w:val="none" w:sz="0" w:space="0" w:color="auto"/>
                    <w:bottom w:val="none" w:sz="0" w:space="0" w:color="auto"/>
                    <w:right w:val="none" w:sz="0" w:space="0" w:color="auto"/>
                  </w:divBdr>
                </w:div>
                <w:div w:id="253321692">
                  <w:marLeft w:val="0"/>
                  <w:marRight w:val="0"/>
                  <w:marTop w:val="0"/>
                  <w:marBottom w:val="0"/>
                  <w:divBdr>
                    <w:top w:val="none" w:sz="0" w:space="0" w:color="auto"/>
                    <w:left w:val="none" w:sz="0" w:space="0" w:color="auto"/>
                    <w:bottom w:val="none" w:sz="0" w:space="0" w:color="auto"/>
                    <w:right w:val="none" w:sz="0" w:space="0" w:color="auto"/>
                  </w:divBdr>
                </w:div>
              </w:divsChild>
            </w:div>
            <w:div w:id="1184435165">
              <w:marLeft w:val="0"/>
              <w:marRight w:val="0"/>
              <w:marTop w:val="0"/>
              <w:marBottom w:val="0"/>
              <w:divBdr>
                <w:top w:val="none" w:sz="0" w:space="0" w:color="auto"/>
                <w:left w:val="none" w:sz="0" w:space="0" w:color="auto"/>
                <w:bottom w:val="single" w:sz="6" w:space="0" w:color="3E3E43"/>
                <w:right w:val="none" w:sz="0" w:space="0" w:color="auto"/>
              </w:divBdr>
              <w:divsChild>
                <w:div w:id="161623535">
                  <w:marLeft w:val="0"/>
                  <w:marRight w:val="0"/>
                  <w:marTop w:val="0"/>
                  <w:marBottom w:val="0"/>
                  <w:divBdr>
                    <w:top w:val="none" w:sz="0" w:space="0" w:color="auto"/>
                    <w:left w:val="none" w:sz="0" w:space="0" w:color="auto"/>
                    <w:bottom w:val="none" w:sz="0" w:space="0" w:color="auto"/>
                    <w:right w:val="none" w:sz="0" w:space="0" w:color="auto"/>
                  </w:divBdr>
                </w:div>
                <w:div w:id="1367633119">
                  <w:marLeft w:val="0"/>
                  <w:marRight w:val="0"/>
                  <w:marTop w:val="0"/>
                  <w:marBottom w:val="0"/>
                  <w:divBdr>
                    <w:top w:val="none" w:sz="0" w:space="0" w:color="auto"/>
                    <w:left w:val="none" w:sz="0" w:space="0" w:color="auto"/>
                    <w:bottom w:val="none" w:sz="0" w:space="0" w:color="auto"/>
                    <w:right w:val="none" w:sz="0" w:space="0" w:color="auto"/>
                  </w:divBdr>
                </w:div>
              </w:divsChild>
            </w:div>
            <w:div w:id="1164130977">
              <w:marLeft w:val="0"/>
              <w:marRight w:val="0"/>
              <w:marTop w:val="0"/>
              <w:marBottom w:val="0"/>
              <w:divBdr>
                <w:top w:val="none" w:sz="0" w:space="0" w:color="auto"/>
                <w:left w:val="none" w:sz="0" w:space="0" w:color="auto"/>
                <w:bottom w:val="none" w:sz="0" w:space="0" w:color="auto"/>
                <w:right w:val="none" w:sz="0" w:space="0" w:color="auto"/>
              </w:divBdr>
              <w:divsChild>
                <w:div w:id="721321412">
                  <w:marLeft w:val="0"/>
                  <w:marRight w:val="0"/>
                  <w:marTop w:val="0"/>
                  <w:marBottom w:val="0"/>
                  <w:divBdr>
                    <w:top w:val="none" w:sz="0" w:space="0" w:color="auto"/>
                    <w:left w:val="none" w:sz="0" w:space="0" w:color="auto"/>
                    <w:bottom w:val="none" w:sz="0" w:space="0" w:color="auto"/>
                    <w:right w:val="none" w:sz="0" w:space="0" w:color="auto"/>
                  </w:divBdr>
                </w:div>
                <w:div w:id="1985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Solorzano</dc:creator>
  <cp:keywords/>
  <dc:description/>
  <cp:lastModifiedBy>Oliver Solorzano</cp:lastModifiedBy>
  <cp:revision>9</cp:revision>
  <dcterms:created xsi:type="dcterms:W3CDTF">2020-11-30T17:49:00Z</dcterms:created>
  <dcterms:modified xsi:type="dcterms:W3CDTF">2020-12-02T06:22:00Z</dcterms:modified>
</cp:coreProperties>
</file>