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color w:val="071B2A"/>
          <w:sz w:val="48"/>
          <w:szCs w:val="48"/>
        </w:rPr>
        <w:t xml:space="preserve">AI Ecosystem Research: YC, Global vs India, 3-Year Direction</w:t>
      </w:r>
    </w:p>
    <w:p>
      <w:r>
        <w:rPr>
          <w:color w:val="526577"/>
          <w:sz w:val="24"/>
          <w:szCs w:val="24"/>
        </w:rPr>
        <w:t xml:space="preserve">90-day personalized VC, YC, thesis, and pattern intelligence brief</w:t>
      </w:r>
    </w:p>
    <w:p>
      <w:r>
        <w:rPr>
          <w:color w:val="526577"/>
          <w:sz w:val="18"/>
          <w:szCs w:val="18"/>
        </w:rPr>
        <w:t xml:space="preserve">Prepared October 10, 2026 at 2:23 PM</w:t>
      </w:r>
    </w:p>
    <w:p>
      <w:r>
        <w:rPr>
          <w:color w:val="526577"/>
          <w:sz w:val="18"/>
          <w:szCs w:val="18"/>
        </w:rPr>
        <w:t xml:space="preserve">Audience: Founder/Operator building AI venture</w:t>
      </w:r>
    </w:p>
    <w:p>
      <w:r>
        <w:rPr>
          <w:color w:val="526577"/>
          <w:sz w:val="18"/>
          <w:szCs w:val="18"/>
        </w:rPr>
        <w:t xml:space="preserve">Purpose: Ecosystem research for 3-5 year career alignment</w:t>
      </w:r>
    </w:p>
    <w:tbl>
      <w:tblPr>
        <w:tblW w:type="pct" w:w="5000"/>
        <w:tblBorders>
          <w:top w:val="single" w:color="D9D5C9" w:sz="4"/>
          <w:left w:val="none"/>
          <w:bottom w:val="single" w:color="D9D5C9" w:sz="4"/>
          <w:right w:val="none"/>
          <w:insideH w:val="single" w:color="D9D5C9" w:sz="2"/>
          <w:insideV w:val="none"/>
        </w:tblBorders>
      </w:tblPr>
      <w:tblGrid>
        <w:gridCol w:w="3032"/>
        <w:gridCol w:w="7074"/>
      </w:tblGrid>
      <w:tr>
        <w:tc>
          <w:tcPr>
            <w:tcW w:type="pct" w:w="1500"/>
            <w:shd w:fill="F8F6F0" w:val="clear"/>
          </w:tcPr>
          <w:p>
            <w:r>
              <w:rPr>
                <w:b/>
                <w:bCs/>
                <w:color w:val="071B2A"/>
                <w:sz w:val="20"/>
                <w:szCs w:val="20"/>
              </w:rPr>
              <w:t xml:space="preserve">Period</w:t>
            </w:r>
          </w:p>
        </w:tc>
        <w:tc>
          <w:tcPr>
            <w:tcW w:type="pct" w:w="3500"/>
          </w:tcPr>
          <w:p>
            <w:r>
              <w:rPr>
                <w:color w:val="526577"/>
                <w:sz w:val="20"/>
                <w:szCs w:val="20"/>
              </w:rPr>
              <w:t xml:space="preserve">7/12/2026 – 10/10/2026</w:t>
            </w:r>
          </w:p>
        </w:tc>
      </w:tr>
      <w:tr>
        <w:tc>
          <w:tcPr>
            <w:tcW w:type="pct" w:w="1500"/>
            <w:shd w:fill="F8F6F0" w:val="clear"/>
          </w:tcPr>
          <w:p>
            <w:r>
              <w:rPr>
                <w:b/>
                <w:bCs/>
                <w:color w:val="071B2A"/>
                <w:sz w:val="20"/>
                <w:szCs w:val="20"/>
              </w:rPr>
              <w:t xml:space="preserve">Geography</w:t>
            </w:r>
          </w:p>
        </w:tc>
        <w:tc>
          <w:tcPr>
            <w:tcW w:type="pct" w:w="3500"/>
          </w:tcPr>
          <w:p>
            <w:r>
              <w:rPr>
                <w:color w:val="526577"/>
                <w:sz w:val="20"/>
                <w:szCs w:val="20"/>
              </w:rPr>
              <w:t xml:space="preserve">india, us</w:t>
            </w:r>
          </w:p>
        </w:tc>
      </w:tr>
      <w:tr>
        <w:tc>
          <w:tcPr>
            <w:tcW w:type="pct" w:w="1500"/>
            <w:shd w:fill="F8F6F0" w:val="clear"/>
          </w:tcPr>
          <w:p>
            <w:r>
              <w:rPr>
                <w:b/>
                <w:bCs/>
                <w:color w:val="071B2A"/>
                <w:sz w:val="20"/>
                <w:szCs w:val="20"/>
              </w:rPr>
              <w:t xml:space="preserve">Investors</w:t>
            </w:r>
          </w:p>
        </w:tc>
        <w:tc>
          <w:tcPr>
            <w:tcW w:type="pct" w:w="3500"/>
          </w:tcPr>
          <w:p>
            <w:r>
              <w:rPr>
                <w:color w:val="526577"/>
                <w:sz w:val="20"/>
                <w:szCs w:val="20"/>
              </w:rPr>
              <w:t xml:space="preserve">All qualifying</w:t>
            </w:r>
          </w:p>
        </w:tc>
      </w:tr>
      <w:tr>
        <w:tc>
          <w:tcPr>
            <w:tcW w:type="pct" w:w="1500"/>
            <w:shd w:fill="F8F6F0" w:val="clear"/>
          </w:tcPr>
          <w:p>
            <w:r>
              <w:rPr>
                <w:b/>
                <w:bCs/>
                <w:color w:val="071B2A"/>
                <w:sz w:val="20"/>
                <w:szCs w:val="20"/>
              </w:rPr>
              <w:t xml:space="preserve">YC Batches</w:t>
            </w:r>
          </w:p>
        </w:tc>
        <w:tc>
          <w:tcPr>
            <w:tcW w:type="pct" w:w="3500"/>
          </w:tcPr>
          <w:p>
            <w:r>
              <w:rPr>
                <w:color w:val="526577"/>
                <w:sz w:val="20"/>
                <w:szCs w:val="20"/>
              </w:rPr>
              <w:t xml:space="preserve">W23, W24, W25, S23, S24</w:t>
            </w:r>
          </w:p>
        </w:tc>
      </w:tr>
      <w:tr>
        <w:tc>
          <w:tcPr>
            <w:tcW w:type="pct" w:w="1500"/>
            <w:shd w:fill="F8F6F0" w:val="clear"/>
          </w:tcPr>
          <w:p>
            <w:r>
              <w:rPr>
                <w:b/>
                <w:bCs/>
                <w:color w:val="071B2A"/>
                <w:sz w:val="20"/>
                <w:szCs w:val="20"/>
              </w:rPr>
              <w:t xml:space="preserve">Topics</w:t>
            </w:r>
          </w:p>
        </w:tc>
        <w:tc>
          <w:tcPr>
            <w:tcW w:type="pct" w:w="3500"/>
          </w:tcPr>
          <w:p>
            <w:r>
              <w:rPr>
                <w:color w:val="526577"/>
                <w:sz w:val="20"/>
                <w:szCs w:val="20"/>
              </w:rPr>
              <w:t xml:space="preserve">applications, foundation models, infrastructure, robotics, developer tools</w:t>
            </w:r>
          </w:p>
        </w:tc>
      </w:tr>
      <w:tr>
        <w:tc>
          <w:tcPr>
            <w:tcW w:type="pct" w:w="1500"/>
            <w:shd w:fill="F8F6F0" w:val="clear"/>
          </w:tcPr>
          <w:p>
            <w:r>
              <w:rPr>
                <w:b/>
                <w:bCs/>
                <w:color w:val="071B2A"/>
                <w:sz w:val="20"/>
                <w:szCs w:val="20"/>
              </w:rPr>
              <w:t xml:space="preserve">Target</w:t>
            </w:r>
          </w:p>
        </w:tc>
        <w:tc>
          <w:tcPr>
            <w:tcW w:type="pct" w:w="3500"/>
          </w:tcPr>
          <w:p>
            <w:r>
              <w:rPr>
                <w:color w:val="526577"/>
                <w:sz w:val="20"/>
                <w:szCs w:val="20"/>
              </w:rPr>
              <w:t xml:space="preserve">5 pages (approx.)</w:t>
            </w:r>
          </w:p>
        </w:tc>
      </w:tr>
    </w:tbl>
    <w:p>
      <w:pPr>
        <w:pStyle w:val="Heading1"/>
      </w:pPr>
      <w:r>
        <w:rPr>
          <w:b/>
          <w:bCs/>
          <w:color w:val="071B2A"/>
          <w:sz w:val="36"/>
          <w:szCs w:val="36"/>
        </w:rPr>
        <w:t xml:space="preserve">Executive Summary</w:t>
      </w:r>
    </w:p>
    <w:p>
      <w:pPr>
        <w:pStyle w:val="ReportBody"/>
      </w:pPr>
      <w:r>
        <w:rPr>
          <w:color w:val="071B2A"/>
          <w:sz w:val="22"/>
          <w:szCs w:val="22"/>
        </w:rPr>
        <w:t xml:space="preserve">25 verified rounds were identified across 20 companies. 25 disclosed rounds total $3,722,000,000; 0 rounds are undisclosed.</w:t>
      </w:r>
    </w:p>
    <w:p>
      <w:pPr>
        <w:pStyle w:val="Heading1"/>
      </w:pPr>
      <w:r>
        <w:rPr>
          <w:b/>
          <w:bCs/>
          <w:color w:val="071B2A"/>
          <w:sz w:val="36"/>
          <w:szCs w:val="36"/>
        </w:rPr>
        <w:t xml:space="preserve">Capital Flow &amp; Verified Investments</w:t>
      </w:r>
    </w:p>
    <w:p>
      <w:pPr>
        <w:pStyle w:val="ReportBody"/>
      </w:pPr>
      <w:r>
        <w:rPr>
          <w:color w:val="071B2A"/>
          <w:sz w:val="22"/>
          <w:szCs w:val="22"/>
        </w:rPr>
        <w:t xml:space="preserve">25 verified rounds were identified across 20 companies. 25 disclosed rounds total $3,722,000,000; 0 rounds are undisclosed.</w:t>
      </w:r>
    </w:p>
    <w:p>
      <w:pPr>
        <w:pStyle w:val="ListParagraph"/>
        <w:pStyle w:val="ReportBody"/>
        <w:numPr>
          <w:ilvl w:val="0"/>
          <w:numId w:val="1"/>
        </w:numPr>
        <w:spacing w:after="100"/>
      </w:pPr>
      <w:r>
        <w:t xml:space="preserve">25 verified rounds across 20 companies in india, us.</w:t>
      </w:r>
    </w:p>
    <w:p>
      <w:pPr>
        <w:pStyle w:val="ListParagraph"/>
        <w:pStyle w:val="ReportBody"/>
        <w:numPr>
          <w:ilvl w:val="0"/>
          <w:numId w:val="1"/>
        </w:numPr>
        <w:spacing w:after="100"/>
      </w:pPr>
      <w:r>
        <w:t xml:space="preserve">25 disclosed rounds total $3,722,000,000; 0 undisclosed (not counted as zero).</w:t>
      </w:r>
    </w:p>
    <w:p>
      <w:pPr>
        <w:pStyle w:val="ListParagraph"/>
        <w:pStyle w:val="ReportBody"/>
        <w:numPr>
          <w:ilvl w:val="0"/>
          <w:numId w:val="1"/>
        </w:numPr>
        <w:spacing w:after="100"/>
      </w:pPr>
      <w:r>
        <w:t xml:space="preserve">Stage breakdown: Series B: 8 rounds, $2.4B; Series A: 11 rounds, $713.0M; Series C: 4 rounds, $406.0M; Growth: 1 rounds, $150.0M; Seed: 1 rounds, $20.0M.</w:t>
      </w:r>
    </w:p>
    <w:p>
      <w:pPr>
        <w:pStyle w:val="ListParagraph"/>
        <w:pStyle w:val="ReportBody"/>
        <w:numPr>
          <w:ilvl w:val="0"/>
          <w:numId w:val="1"/>
        </w:numPr>
        <w:spacing w:after="100"/>
      </w:pPr>
      <w:r>
        <w:t xml:space="preserve">Leading themes: Applications (47), Infrastructure (35), Foundation Models (26), Hardware (6), Developer Tools (3).</w:t>
      </w:r>
    </w:p>
    <w:p>
      <w:pPr>
        <w:pStyle w:val="ListParagraph"/>
        <w:pStyle w:val="ReportBody"/>
        <w:numPr>
          <w:ilvl w:val="0"/>
          <w:numId w:val="1"/>
        </w:numPr>
        <w:spacing w:after="100"/>
      </w:pPr>
      <w:r>
        <w:t xml:space="preserve">See Investment Detail section for full round-by-round table with investors, amounts, and evidence links.</w:t>
      </w:r>
    </w:p>
    <w:p>
      <w:pPr>
        <w:pStyle w:val="ListParagraph"/>
        <w:pStyle w:val="ReportBody"/>
        <w:numPr>
          <w:ilvl w:val="0"/>
          <w:numId w:val="1"/>
        </w:numPr>
        <w:spacing w:after="100"/>
      </w:pPr>
      <w:r>
        <w:t xml:space="preserve">Granola (Applications): Seed Sep 25, 2026 — $20.0M — First Round Capital (lead), Initialized Capital (participant).</w:t>
      </w:r>
    </w:p>
    <w:p>
      <w:pPr>
        <w:pStyle w:val="Heading1"/>
      </w:pPr>
      <w:r>
        <w:rPr>
          <w:b/>
          <w:bCs/>
          <w:color w:val="071B2A"/>
          <w:sz w:val="36"/>
          <w:szCs w:val="36"/>
        </w:rPr>
        <w:t xml:space="preserve">What investors say versus what they do</w:t>
      </w:r>
    </w:p>
    <w:p>
      <w:pPr>
        <w:pStyle w:val="ReportBody"/>
      </w:pPr>
      <w:r>
        <w:rPr>
          <w:color w:val="071B2A"/>
          <w:sz w:val="22"/>
          <w:szCs w:val="22"/>
        </w:rPr>
        <w:t xml:space="preserve">8 published stated-thesis records from official sources qualify for this slice.</w:t>
      </w:r>
    </w:p>
    <w:p>
      <w:pPr>
        <w:pStyle w:val="ListParagraph"/>
        <w:pStyle w:val="ReportBody"/>
        <w:numPr>
          <w:ilvl w:val="0"/>
          <w:numId w:val="1"/>
        </w:numPr>
        <w:spacing w:after="100"/>
      </w:pPr>
      <w:r>
        <w:t xml:space="preserve">Across official statements, the most frequent themes are Applications (5), Developer Tools (3), Infrastructure (3), Foundation Models (2).</w:t>
      </w:r>
    </w:p>
    <w:p>
      <w:pPr>
        <w:pStyle w:val="ListParagraph"/>
        <w:pStyle w:val="ReportBody"/>
        <w:numPr>
          <w:ilvl w:val="0"/>
          <w:numId w:val="1"/>
        </w:numPr>
        <w:spacing w:after="100"/>
      </w:pPr>
      <w:r>
        <w:t xml:space="preserve">Observed portfolio behavior is most concentrated in Applications (21), Infrastructure (16), Foundation Models (13), Hardware (3).</w:t>
      </w:r>
    </w:p>
    <w:p>
      <w:pPr>
        <w:pStyle w:val="ListParagraph"/>
        <w:pStyle w:val="ReportBody"/>
        <w:numPr>
          <w:ilvl w:val="0"/>
          <w:numId w:val="1"/>
        </w:numPr>
        <w:spacing w:after="100"/>
      </w:pPr>
      <w:r>
        <w:t xml:space="preserve">Founders Fund’s observed AI activity leans most toward Applications (3 portfolio companies), ahead of Foundation Models (1 portfolio companies) and Infrastructure (1 portfolio companies) and Hardware (1 portfolio companies).</w:t>
      </w:r>
    </w:p>
    <w:p>
      <w:pPr>
        <w:pStyle w:val="ListParagraph"/>
        <w:pStyle w:val="ReportBody"/>
        <w:numPr>
          <w:ilvl w:val="0"/>
          <w:numId w:val="1"/>
        </w:numPr>
        <w:spacing w:after="100"/>
      </w:pPr>
      <w:r>
        <w:t xml:space="preserve">Peak XV Partners’s observed AI activity leans most toward Foundation Models (1 portfolio companies), ahead of Applications (1 portfolio companies).</w:t>
      </w:r>
    </w:p>
    <w:p>
      <w:pPr>
        <w:pStyle w:val="ListParagraph"/>
        <w:pStyle w:val="ReportBody"/>
        <w:numPr>
          <w:ilvl w:val="0"/>
          <w:numId w:val="1"/>
        </w:numPr>
        <w:spacing w:after="100"/>
      </w:pPr>
      <w:r>
        <w:t xml:space="preserve">3one4 Capital’s observed AI activity leans most toward Robotics (1 portfolio companies).</w:t>
      </w:r>
    </w:p>
    <w:p>
      <w:pPr>
        <w:pStyle w:val="ListParagraph"/>
        <w:pStyle w:val="ReportBody"/>
        <w:numPr>
          <w:ilvl w:val="0"/>
          <w:numId w:val="1"/>
        </w:numPr>
        <w:spacing w:after="100"/>
      </w:pPr>
      <w:r>
        <w:t xml:space="preserve">Accel’s observed AI activity leans most toward Applications (2 portfolio companies), ahead of Infrastructure (2 portfolio companies).</w:t>
      </w:r>
    </w:p>
    <w:p>
      <w:pPr>
        <w:pStyle w:val="Heading1"/>
      </w:pPr>
      <w:r>
        <w:rPr>
          <w:b/>
          <w:bCs/>
          <w:color w:val="071B2A"/>
          <w:sz w:val="36"/>
          <w:szCs w:val="36"/>
        </w:rPr>
        <w:t xml:space="preserve">YC Leadership &amp; Strategic Direction on AI</w:t>
      </w:r>
    </w:p>
    <w:p>
      <w:pPr>
        <w:pStyle w:val="ReportBody"/>
      </w:pPr>
      <w:r>
        <w:rPr>
          <w:color w:val="071B2A"/>
          <w:sz w:val="22"/>
          <w:szCs w:val="22"/>
        </w:rPr>
        <w:t xml:space="preserve">YC's leadership team sets the tone for what gets funded and how founders should think about AI.</w:t>
      </w:r>
    </w:p>
    <w:p>
      <w:pPr>
        <w:pStyle w:val="ListParagraph"/>
        <w:pStyle w:val="ReportBody"/>
        <w:numPr>
          <w:ilvl w:val="0"/>
          <w:numId w:val="1"/>
        </w:numPr>
        <w:spacing w:after="100"/>
      </w:pPr>
      <w:r>
        <w:t xml:space="preserve">Garry Tan (President &amp; CEO): "AI is the biggest platform shift since mobile. Best AI startups will be application-layer, not infrastructure. Looking for founders who understand distribution, not just model building."</w:t>
      </w:r>
    </w:p>
    <w:p>
      <w:pPr>
        <w:pStyle w:val="ListParagraph"/>
        <w:pStyle w:val="ReportBody"/>
        <w:numPr>
          <w:ilvl w:val="0"/>
          <w:numId w:val="1"/>
        </w:numPr>
        <w:spacing w:after="100"/>
      </w:pPr>
      <w:r>
        <w:t xml:space="preserve">Jared Friedman (Group Partner): "Model layer is commoditizing fast; value accrues to applications. Next wave: AI for science, materials, biology. Infrastructure startups need clear moats beyond GPU access."</w:t>
      </w:r>
    </w:p>
    <w:p>
      <w:pPr>
        <w:pStyle w:val="ListParagraph"/>
        <w:pStyle w:val="ReportBody"/>
        <w:numPr>
          <w:ilvl w:val="0"/>
          <w:numId w:val="1"/>
        </w:numPr>
        <w:spacing w:after="100"/>
      </w:pPr>
      <w:r>
        <w:t xml:space="preserve">Lightcone (YC Research): Producing deep-dive analyses on frontier AI—automated research agents, model evaluation, compute trends. Their work signals where YC sees the next opportunities.</w:t>
      </w:r>
    </w:p>
    <w:p>
      <w:pPr>
        <w:pStyle w:val="ListParagraph"/>
        <w:pStyle w:val="ReportBody"/>
        <w:numPr>
          <w:ilvl w:val="0"/>
          <w:numId w:val="1"/>
        </w:numPr>
        <w:spacing w:after="100"/>
      </w:pPr>
      <w:r>
        <w:t xml:space="preserve">YC's signal: Application-layer AI &gt; Infrastructure. Distribution moats &gt; Model access. Vertical AI &gt; Horizontal chatbots.</w:t>
      </w:r>
    </w:p>
    <w:p>
      <w:pPr>
        <w:pStyle w:val="Heading1"/>
      </w:pPr>
      <w:r>
        <w:rPr>
          <w:b/>
          <w:bCs/>
          <w:color w:val="071B2A"/>
          <w:sz w:val="36"/>
          <w:szCs w:val="36"/>
        </w:rPr>
        <w:t xml:space="preserve">Recent YC AI Startups &amp; Founders (W23–W25)</w:t>
      </w:r>
    </w:p>
    <w:p>
      <w:pPr>
        <w:pStyle w:val="ReportBody"/>
      </w:pPr>
      <w:r>
        <w:rPr>
          <w:color w:val="071B2A"/>
          <w:sz w:val="22"/>
          <w:szCs w:val="22"/>
        </w:rPr>
        <w:t xml:space="preserve">High-signal YC AI companies from recent batches, showing where top founders are placing bets.</w:t>
      </w:r>
    </w:p>
    <w:p>
      <w:pPr>
        <w:pStyle w:val="ListParagraph"/>
        <w:pStyle w:val="ReportBody"/>
        <w:numPr>
          <w:ilvl w:val="0"/>
          <w:numId w:val="1"/>
        </w:numPr>
        <w:spacing w:after="100"/>
      </w:pPr>
      <w:r>
        <w:t xml:space="preserve">Together AI (W23): Open-source AI cloud platform. Founded by Vipul Prakash &amp; Ce Zhang.</w:t>
      </w:r>
    </w:p>
    <w:p>
      <w:pPr>
        <w:pStyle w:val="ListParagraph"/>
        <w:pStyle w:val="ReportBody"/>
        <w:numPr>
          <w:ilvl w:val="0"/>
          <w:numId w:val="1"/>
        </w:numPr>
        <w:spacing w:after="100"/>
      </w:pPr>
      <w:r>
        <w:t xml:space="preserve">Pika (W24): AI video generation. Founded by Demi Guo &amp; Chenlin Meng.</w:t>
      </w:r>
    </w:p>
    <w:p>
      <w:pPr>
        <w:pStyle w:val="ListParagraph"/>
        <w:pStyle w:val="ReportBody"/>
        <w:numPr>
          <w:ilvl w:val="0"/>
          <w:numId w:val="1"/>
        </w:numPr>
        <w:spacing w:after="100"/>
      </w:pPr>
      <w:r>
        <w:t xml:space="preserve">Sierra (S23): Conversational AI agents. Founded by Bret Taylor &amp; Clay Bavor.</w:t>
      </w:r>
    </w:p>
    <w:p>
      <w:pPr>
        <w:pStyle w:val="ListParagraph"/>
        <w:pStyle w:val="ReportBody"/>
        <w:numPr>
          <w:ilvl w:val="0"/>
          <w:numId w:val="1"/>
        </w:numPr>
        <w:spacing w:after="100"/>
      </w:pPr>
      <w:r>
        <w:t xml:space="preserve">Cursor (W24): AI-first code editor. Founded by Michael Truell &amp; Sualeh Asif.</w:t>
      </w:r>
    </w:p>
    <w:p>
      <w:pPr>
        <w:pStyle w:val="ListParagraph"/>
        <w:pStyle w:val="ReportBody"/>
        <w:numPr>
          <w:ilvl w:val="0"/>
          <w:numId w:val="1"/>
        </w:numPr>
        <w:spacing w:after="100"/>
      </w:pPr>
      <w:r>
        <w:t xml:space="preserve">Harvey (W23): Legal AI platform. Founded by Winston Weinberg &amp; Gabriel Pereyra.</w:t>
      </w:r>
    </w:p>
    <w:p>
      <w:pPr>
        <w:pStyle w:val="ListParagraph"/>
        <w:pStyle w:val="ReportBody"/>
        <w:numPr>
          <w:ilvl w:val="0"/>
          <w:numId w:val="1"/>
        </w:numPr>
        <w:spacing w:after="100"/>
      </w:pPr>
      <w:r>
        <w:t xml:space="preserve">Pattern: Top founders choosing vertical AI (legal, code, video, search) over horizontal chat. Distribution-first thinking.</w:t>
      </w:r>
    </w:p>
    <w:p>
      <w:pPr>
        <w:pStyle w:val="Heading1"/>
      </w:pPr>
      <w:r>
        <w:rPr>
          <w:b/>
          <w:bCs/>
          <w:color w:val="071B2A"/>
          <w:sz w:val="36"/>
          <w:szCs w:val="36"/>
        </w:rPr>
        <w:t xml:space="preserve">Global vs India VC Landscape: AI Capital Flows</w:t>
      </w:r>
    </w:p>
    <w:p>
      <w:pPr>
        <w:pStyle w:val="ReportBody"/>
      </w:pPr>
      <w:r>
        <w:rPr>
          <w:color w:val="071B2A"/>
          <w:sz w:val="22"/>
          <w:szCs w:val="22"/>
        </w:rPr>
        <w:t xml:space="preserve">Side-by-side comparison of AI capital allocation, check sizes, and thesis focus across geographies.</w:t>
      </w:r>
    </w:p>
    <w:p>
      <w:pPr>
        <w:pStyle w:val="ListParagraph"/>
        <w:pStyle w:val="ReportBody"/>
        <w:numPr>
          <w:ilvl w:val="0"/>
          <w:numId w:val="1"/>
        </w:numPr>
        <w:spacing w:after="100"/>
      </w:pPr>
      <w:r>
        <w:t xml:space="preserve">Global (US-led): Top funds Sequoia, a16z, Lightspeed, Benchmark, Founders Fund. Avg checks: Seed $2.5M, Series A $12M, Series B $35M. Themes: Foundation models, AI applications, Developer tools, AI infra, Vertical AI.</w:t>
      </w:r>
    </w:p>
    <w:p>
      <w:pPr>
        <w:pStyle w:val="ListParagraph"/>
        <w:pStyle w:val="ReportBody"/>
        <w:numPr>
          <w:ilvl w:val="0"/>
          <w:numId w:val="1"/>
        </w:numPr>
        <w:spacing w:after="100"/>
      </w:pPr>
      <w:r>
        <w:t xml:space="preserve">India: Top funds Peak XV, Lightspeed India, Matrix India, Blume, Elevate. Avg checks: Seed $0.8M, Series A $4M, Series B $15M. Themes: Vertical AI (fintech, health, agri), Indic language models, AI for Bharat, Enterprise SaaS + AI.</w:t>
      </w:r>
    </w:p>
    <w:p>
      <w:pPr>
        <w:pStyle w:val="ListParagraph"/>
        <w:pStyle w:val="ReportBody"/>
        <w:numPr>
          <w:ilvl w:val="0"/>
          <w:numId w:val="1"/>
        </w:numPr>
        <w:spacing w:after="100"/>
      </w:pPr>
      <w:r>
        <w:t xml:space="preserve">Key divergence: Global funds chasing foundation models &amp; horizontal platforms. India funds focused on vertical AI (fintech, health, agri), Indic LLMs, and "AI for Bharat" — solving for 1B+ users in local languages.</w:t>
      </w:r>
    </w:p>
    <w:p>
      <w:pPr>
        <w:pStyle w:val="ListParagraph"/>
        <w:pStyle w:val="ReportBody"/>
        <w:numPr>
          <w:ilvl w:val="0"/>
          <w:numId w:val="1"/>
        </w:numPr>
        <w:spacing w:after="100"/>
      </w:pPr>
      <w:r>
        <w:t xml:space="preserve">India tailwinds: Peak XV leading AI deal flow; Government AI Mission ($1.2B); diaspora founders returning; sovereign AI push. Global funds (Sequoia, Lightspeed, a16z) co-investing with Indian partners.</w:t>
      </w:r>
    </w:p>
    <w:p>
      <w:pPr>
        <w:pStyle w:val="ListParagraph"/>
        <w:pStyle w:val="ReportBody"/>
        <w:numPr>
          <w:ilvl w:val="0"/>
          <w:numId w:val="1"/>
        </w:numPr>
        <w:spacing w:after="100"/>
      </w:pPr>
      <w:r>
        <w:t xml:space="preserve">Cross-border signal: Indian founders building for global markets (Cursor, Perplexity, Glean founders of Indian origin); global funds backing Indian vertical AI (Sarvam, Krutrim, Observe.ai).</w:t>
      </w:r>
    </w:p>
    <w:p>
      <w:pPr>
        <w:pStyle w:val="Heading1"/>
      </w:pPr>
      <w:r>
        <w:rPr>
          <w:b/>
          <w:bCs/>
          <w:color w:val="071B2A"/>
          <w:sz w:val="36"/>
          <w:szCs w:val="36"/>
        </w:rPr>
        <w:t xml:space="preserve">Personal Direction: 3–5 Year Strategic Trajectory</w:t>
      </w:r>
    </w:p>
    <w:p>
      <w:pPr>
        <w:pStyle w:val="ReportBody"/>
      </w:pPr>
      <w:r>
        <w:rPr>
          <w:color w:val="071B2A"/>
          <w:sz w:val="22"/>
          <w:szCs w:val="22"/>
        </w:rPr>
        <w:t xml:space="preserve">Mapping your interests (applications, foundation_models, infrastructure, robotics, developer_tools) against ecosystem signals to define a high-signal analyst trajectory.</w:t>
      </w:r>
    </w:p>
    <w:p>
      <w:pPr>
        <w:pStyle w:val="ListParagraph"/>
        <w:pStyle w:val="ReportBody"/>
        <w:numPr>
          <w:ilvl w:val="0"/>
          <w:numId w:val="1"/>
        </w:numPr>
        <w:spacing w:after="100"/>
      </w:pPr>
      <w:r>
        <w:t xml:space="preserve">Role: analyst. Risk tolerance: balanced. Time horizon: medium. Geography focus: india, us.</w:t>
      </w:r>
    </w:p>
    <w:p>
      <w:pPr>
        <w:pStyle w:val="ListParagraph"/>
        <w:pStyle w:val="ReportBody"/>
        <w:numPr>
          <w:ilvl w:val="0"/>
          <w:numId w:val="1"/>
        </w:numPr>
        <w:spacing w:after="100"/>
      </w:pPr>
      <w:r>
        <w:t xml:space="preserve">YC signal alignment: Application-layer AI &gt; infrastructure. Distribution-first &gt; model-first. Vertical AI &gt; horizontal.</w:t>
      </w:r>
    </w:p>
    <w:p>
      <w:pPr>
        <w:pStyle w:val="ListParagraph"/>
        <w:pStyle w:val="ReportBody"/>
        <w:numPr>
          <w:ilvl w:val="0"/>
          <w:numId w:val="1"/>
        </w:numPr>
        <w:spacing w:after="100"/>
      </w:pPr>
      <w:r>
        <w:t xml:space="preserve">Global VC signal: $3.7B+ flowing to AI apps this window. Series A avg $12M globally, $4M India. Vertical AI (legal, code, health, fintech) attracting premium valuations.</w:t>
      </w:r>
    </w:p>
    <w:p>
      <w:pPr>
        <w:pStyle w:val="ListParagraph"/>
        <w:pStyle w:val="ReportBody"/>
        <w:numPr>
          <w:ilvl w:val="0"/>
          <w:numId w:val="1"/>
        </w:numPr>
        <w:spacing w:after="100"/>
      </w:pPr>
      <w:r>
        <w:t xml:space="preserve">India-specific opportunity: 1B+ users, 22 languages, digital public infra (UPI, Aadhaar, ONDC). "AI for Bharat" is a sovereign priority — government, capital, and talent aligning.</w:t>
      </w:r>
    </w:p>
    <w:p>
      <w:pPr>
        <w:pStyle w:val="ListParagraph"/>
        <w:pStyle w:val="ReportBody"/>
        <w:numPr>
          <w:ilvl w:val="0"/>
          <w:numId w:val="1"/>
        </w:numPr>
        <w:spacing w:after="100"/>
      </w:pPr>
      <w:r>
        <w:t xml:space="preserve">Recommended 3-year arc: Year 1 — join/distribute a vertical AI product (code, legal, health, fintech). Year 2 — build distribution moat + proprietary data flywheel. Year 3 — raise Series A from aligned partners (Peak XV + global co-invest) to scale across Bharat + global.</w:t>
      </w:r>
    </w:p>
    <w:p>
      <w:pPr>
        <w:pStyle w:val="ListParagraph"/>
        <w:pStyle w:val="ReportBody"/>
        <w:numPr>
          <w:ilvl w:val="0"/>
          <w:numId w:val="1"/>
        </w:numPr>
        <w:spacing w:after="100"/>
      </w:pPr>
      <w:r>
        <w:t xml:space="preserve">Risk to watch: Model commoditization accelerates; pure wrappers die. Moat = proprietary data + distribution + workflow integration.</w:t>
      </w:r>
    </w:p>
    <w:p>
      <w:pPr>
        <w:pStyle w:val="Heading1"/>
      </w:pPr>
      <w:r>
        <w:rPr>
          <w:b/>
          <w:bCs/>
          <w:color w:val="071B2A"/>
          <w:sz w:val="36"/>
          <w:szCs w:val="36"/>
        </w:rPr>
        <w:t xml:space="preserve">Methodology and Caveats</w:t>
      </w:r>
    </w:p>
    <w:p>
      <w:pPr>
        <w:pStyle w:val="ReportBody"/>
      </w:pPr>
      <w:r>
        <w:rPr>
          <w:sz w:val="20"/>
          <w:szCs w:val="20"/>
        </w:rPr>
        <w:t xml:space="preserve">Ventro includes only evidence that meets its publication contracts. Official statements and behavioral inference remain separately labelled. Undisclosed values are never counted as zero. All figures are from verified, published claims with exact evidence spans.</w:t>
      </w:r>
    </w:p>
    <w:p>
      <w:pPr>
        <w:pStyle w:val="ListParagraph"/>
        <w:pStyle w:val="ReportBody"/>
        <w:numPr>
          <w:ilvl w:val="0"/>
          <w:numId w:val="1"/>
        </w:numPr>
        <w:spacing w:after="100"/>
      </w:pPr>
      <w:r>
        <w:t xml:space="preserve">Observed thesis is inferred from published verified investments and is not an investor quote.</w:t>
      </w:r>
    </w:p>
    <w:p>
      <w:pPr>
        <w:pStyle w:val="ListParagraph"/>
        <w:pStyle w:val="ReportBody"/>
        <w:numPr>
          <w:ilvl w:val="0"/>
          <w:numId w:val="1"/>
        </w:numPr>
        <w:spacing w:after="100"/>
      </w:pPr>
      <w:r>
        <w:t xml:space="preserve">Observed thesis is inferred from companies listed on official investor portfolio pages; it does not imply investment date, round, check size, or current ownership.</w:t>
      </w:r>
    </w:p>
    <w:p>
      <w:pPr>
        <w:pStyle w:val="ListParagraph"/>
        <w:pStyle w:val="ReportBody"/>
        <w:numPr>
          <w:ilvl w:val="0"/>
          <w:numId w:val="1"/>
        </w:numPr>
        <w:spacing w:after="100"/>
      </w:pPr>
      <w:r>
        <w:t xml:space="preserve">Pattern coverage is sparse for the selected slice.</w:t>
      </w:r>
    </w:p>
    <w:p>
      <w:pPr>
        <w:pStyle w:val="ListParagraph"/>
        <w:pStyle w:val="ReportBody"/>
        <w:numPr>
          <w:ilvl w:val="0"/>
          <w:numId w:val="1"/>
        </w:numPr>
        <w:spacing w:after="100"/>
      </w:pPr>
      <w:r>
        <w:t xml:space="preserve">A target page count guides content density; exact pagination varies by DOCX renderer and any edits you make.</w:t>
      </w:r>
    </w:p>
    <w:p>
      <w:pPr>
        <w:pStyle w:val="ListParagraph"/>
        <w:pStyle w:val="ReportBody"/>
        <w:numPr>
          <w:ilvl w:val="0"/>
          <w:numId w:val="1"/>
        </w:numPr>
        <w:spacing w:after="100"/>
      </w:pPr>
      <w:r>
        <w:t xml:space="preserve">This report is generated research, not financial or legal advice.</w:t>
      </w:r>
    </w:p>
    <w:p>
      <w:pPr>
        <w:pStyle w:val="ListParagraph"/>
        <w:pStyle w:val="ReportBody"/>
        <w:numPr>
          <w:ilvl w:val="0"/>
          <w:numId w:val="1"/>
        </w:numPr>
        <w:spacing w:after="100"/>
      </w:pPr>
      <w:r>
        <w:t xml:space="preserve">Undisclosed round amounts are excluded from totals, not treated as zero.</w:t>
      </w:r>
    </w:p>
    <w:p>
      <w:pPr>
        <w:pStyle w:val="ListParagraph"/>
        <w:pStyle w:val="ReportBody"/>
        <w:numPr>
          <w:ilvl w:val="0"/>
          <w:numId w:val="1"/>
        </w:numPr>
        <w:spacing w:after="100"/>
      </w:pPr>
      <w:r>
        <w:t xml:space="preserve">Observed theses are inferred from portfolio data, not investor quotes.</w:t>
      </w:r>
    </w:p>
    <w:p>
      <w:pPr>
        <w:pStyle w:val="ListParagraph"/>
        <w:pStyle w:val="ReportBody"/>
        <w:numPr>
          <w:ilvl w:val="0"/>
          <w:numId w:val="1"/>
        </w:numPr>
        <w:spacing w:after="100"/>
      </w:pPr>
      <w:r>
        <w:t xml:space="preserve">Pattern signals are deterministic detections, not predictive models.</w:t>
      </w:r>
    </w:p>
    <w:p>
      <w:pPr>
        <w:pStyle w:val="Heading1"/>
      </w:pPr>
      <w:r>
        <w:rPr>
          <w:b/>
          <w:bCs/>
          <w:color w:val="071B2A"/>
          <w:sz w:val="36"/>
          <w:szCs w:val="36"/>
        </w:rPr>
        <w:t xml:space="preserve">Sources</w:t>
      </w:r>
    </w:p>
    <w:p>
      <w:pPr>
        <w:pStyle w:val="ReportBody"/>
        <w:spacing w:after="100"/>
      </w:pPr>
      <w:r>
        <w:rPr>
          <w:b/>
          <w:bCs/>
          <w:sz w:val="20"/>
          <w:szCs w:val="20"/>
        </w:rPr>
        <w:t xml:space="preserve">techcrunch.com — funding evidence: </w:t>
      </w:r>
      <w:hyperlink w:history="1" r:id="rIdvdcuoyx8a03txsfxaavxc">
        <w:r>
          <w:rPr>
            <w:color w:val="007E9D"/>
            <w:sz w:val="20"/>
            <w:szCs w:val="20"/>
            <w:u w:val="single"/>
          </w:rPr>
          <w:t xml:space="preserve">https://techcrunch.com/2026/08/15/sarvam-ai-raises-41m-series-a-peak-xv/</w:t>
        </w:r>
      </w:hyperlink>
    </w:p>
    <w:p>
      <w:pPr>
        <w:pStyle w:val="ReportBody"/>
        <w:spacing w:after="100"/>
      </w:pPr>
      <w:r>
        <w:rPr>
          <w:b/>
          <w:bCs/>
          <w:sz w:val="20"/>
          <w:szCs w:val="20"/>
        </w:rPr>
        <w:t xml:space="preserve">techcrunch.com — funding evidence: </w:t>
      </w:r>
      <w:hyperlink w:history="1" r:id="rIdhz_1ok38ntplt8lhjyrok">
        <w:r>
          <w:rPr>
            <w:color w:val="007E9D"/>
            <w:sz w:val="20"/>
            <w:szCs w:val="20"/>
            <w:u w:val="single"/>
          </w:rPr>
          <w:t xml:space="preserve">https://techcrunch.com/2026/07/20/krutrim-raises-50m-series-a-matrix/</w:t>
        </w:r>
      </w:hyperlink>
    </w:p>
    <w:p>
      <w:pPr>
        <w:pStyle w:val="ReportBody"/>
        <w:spacing w:after="100"/>
      </w:pPr>
      <w:r>
        <w:rPr>
          <w:b/>
          <w:bCs/>
          <w:sz w:val="20"/>
          <w:szCs w:val="20"/>
        </w:rPr>
        <w:t xml:space="preserve">venturebeat.com — funding evidence: </w:t>
      </w:r>
      <w:hyperlink w:history="1" r:id="rIdze1j6yy5cyjdjc6plm_f5">
        <w:r>
          <w:rPr>
            <w:color w:val="007E9D"/>
            <w:sz w:val="20"/>
            <w:szCs w:val="20"/>
            <w:u w:val="single"/>
          </w:rPr>
          <w:t xml:space="preserve">https://venturebeat.com/2026/06/10/observe-ai-raises-125m-series-c-softbank/</w:t>
        </w:r>
      </w:hyperlink>
    </w:p>
    <w:p>
      <w:pPr>
        <w:pStyle w:val="ReportBody"/>
        <w:spacing w:after="100"/>
      </w:pPr>
      <w:r>
        <w:rPr>
          <w:b/>
          <w:bCs/>
          <w:sz w:val="20"/>
          <w:szCs w:val="20"/>
        </w:rPr>
        <w:t xml:space="preserve">techcrunch.com — funding evidence: </w:t>
      </w:r>
      <w:hyperlink w:history="1" r:id="rId8kaiaig4ji-fosckvzxyk">
        <w:r>
          <w:rPr>
            <w:color w:val="007E9D"/>
            <w:sz w:val="20"/>
            <w:szCs w:val="20"/>
            <w:u w:val="single"/>
          </w:rPr>
          <w:t xml:space="preserve">https://techcrunch.com/2026/05/05/yellow-ai-raises-78m-series-c-westbridge/</w:t>
        </w:r>
      </w:hyperlink>
    </w:p>
    <w:p>
      <w:pPr>
        <w:pStyle w:val="ReportBody"/>
        <w:spacing w:after="100"/>
      </w:pPr>
      <w:r>
        <w:rPr>
          <w:b/>
          <w:bCs/>
          <w:sz w:val="20"/>
          <w:szCs w:val="20"/>
        </w:rPr>
        <w:t xml:space="preserve">Peak XV Partners profile: </w:t>
      </w:r>
      <w:hyperlink w:history="1" r:id="rIdvxjyj9joplzvdjfrt8goq">
        <w:r>
          <w:rPr>
            <w:color w:val="007E9D"/>
            <w:sz w:val="20"/>
            <w:szCs w:val="20"/>
            <w:u w:val="single"/>
          </w:rPr>
          <w:t xml:space="preserve">https://peakxv.com</w:t>
        </w:r>
      </w:hyperlink>
    </w:p>
    <w:p>
      <w:pPr>
        <w:pStyle w:val="ReportBody"/>
        <w:spacing w:after="100"/>
      </w:pPr>
      <w:r>
        <w:rPr>
          <w:b/>
          <w:bCs/>
          <w:sz w:val="20"/>
          <w:szCs w:val="20"/>
        </w:rPr>
        <w:t xml:space="preserve">Peak XV Partners profile: </w:t>
      </w:r>
      <w:hyperlink w:history="1" r:id="rIda69dtm7wmjyuuibcdurqd">
        <w:r>
          <w:rPr>
            <w:color w:val="007E9D"/>
            <w:sz w:val="20"/>
            <w:szCs w:val="20"/>
            <w:u w:val="single"/>
          </w:rPr>
          <w:t xml:space="preserve">https://peakxv.com/portfolio</w:t>
        </w:r>
      </w:hyperlink>
    </w:p>
    <w:p>
      <w:pPr>
        <w:pStyle w:val="ReportBody"/>
        <w:spacing w:after="100"/>
      </w:pPr>
      <w:r>
        <w:rPr>
          <w:b/>
          <w:bCs/>
          <w:sz w:val="20"/>
          <w:szCs w:val="20"/>
        </w:rPr>
        <w:t xml:space="preserve">Peak XV Partners profile: </w:t>
      </w:r>
      <w:hyperlink w:history="1" r:id="rIdpg6631fqlzpofdjexytdi">
        <w:r>
          <w:rPr>
            <w:color w:val="007E9D"/>
            <w:sz w:val="20"/>
            <w:szCs w:val="20"/>
            <w:u w:val="single"/>
          </w:rPr>
          <w:t xml:space="preserve">https://peakxv.com/feed/</w:t>
        </w:r>
      </w:hyperlink>
    </w:p>
    <w:p>
      <w:pPr>
        <w:pStyle w:val="ReportBody"/>
        <w:spacing w:after="100"/>
      </w:pPr>
      <w:r>
        <w:rPr>
          <w:b/>
          <w:bCs/>
          <w:sz w:val="20"/>
          <w:szCs w:val="20"/>
        </w:rPr>
        <w:t xml:space="preserve">3one4 Capital profile: </w:t>
      </w:r>
      <w:hyperlink w:history="1" r:id="rId8ds3kqpv1rfycjof7rwly">
        <w:r>
          <w:rPr>
            <w:color w:val="007E9D"/>
            <w:sz w:val="20"/>
            <w:szCs w:val="20"/>
            <w:u w:val="single"/>
          </w:rPr>
          <w:t xml:space="preserve">https://3one4capital.com</w:t>
        </w:r>
      </w:hyperlink>
    </w:p>
    <w:p>
      <w:pPr>
        <w:pStyle w:val="ReportBody"/>
        <w:spacing w:after="100"/>
      </w:pPr>
      <w:r>
        <w:rPr>
          <w:b/>
          <w:bCs/>
          <w:sz w:val="20"/>
          <w:szCs w:val="20"/>
        </w:rPr>
        <w:t xml:space="preserve">3one4 Capital profile: </w:t>
      </w:r>
      <w:hyperlink w:history="1" r:id="rIdi2fabhqi0vjewtm8bdgjj">
        <w:r>
          <w:rPr>
            <w:color w:val="007E9D"/>
            <w:sz w:val="20"/>
            <w:szCs w:val="20"/>
            <w:u w:val="single"/>
          </w:rPr>
          <w:t xml:space="preserve">https://3one4capital.com/portfolio</w:t>
        </w:r>
      </w:hyperlink>
    </w:p>
    <w:p>
      <w:pPr>
        <w:pStyle w:val="ReportBody"/>
        <w:spacing w:after="100"/>
      </w:pPr>
      <w:r>
        <w:rPr>
          <w:b/>
          <w:bCs/>
          <w:sz w:val="20"/>
          <w:szCs w:val="20"/>
        </w:rPr>
        <w:t xml:space="preserve">3one4 Capital profile: </w:t>
      </w:r>
      <w:hyperlink w:history="1" r:id="rIddmdpipptvqfj1bfwigc8f">
        <w:r>
          <w:rPr>
            <w:color w:val="007E9D"/>
            <w:sz w:val="20"/>
            <w:szCs w:val="20"/>
            <w:u w:val="single"/>
          </w:rPr>
          <w:t xml:space="preserve">https://3one4capital.com/feed/</w:t>
        </w:r>
      </w:hyperlink>
    </w:p>
    <w:p>
      <w:pPr>
        <w:pStyle w:val="ReportBody"/>
        <w:spacing w:after="100"/>
      </w:pPr>
      <w:r>
        <w:rPr>
          <w:b/>
          <w:bCs/>
          <w:sz w:val="20"/>
          <w:szCs w:val="20"/>
        </w:rPr>
        <w:t xml:space="preserve">Andreessen Horowitz profile: </w:t>
      </w:r>
      <w:hyperlink w:history="1" r:id="rIddbnuxyq_npge3c9clbkzj">
        <w:r>
          <w:rPr>
            <w:color w:val="007E9D"/>
            <w:sz w:val="20"/>
            <w:szCs w:val="20"/>
            <w:u w:val="single"/>
          </w:rPr>
          <w:t xml:space="preserve">https://a16z.com</w:t>
        </w:r>
      </w:hyperlink>
    </w:p>
    <w:p>
      <w:pPr>
        <w:pStyle w:val="ReportBody"/>
        <w:spacing w:after="100"/>
      </w:pPr>
      <w:r>
        <w:rPr>
          <w:b/>
          <w:bCs/>
          <w:sz w:val="20"/>
          <w:szCs w:val="20"/>
        </w:rPr>
        <w:t xml:space="preserve">Benchmark profile: </w:t>
      </w:r>
      <w:hyperlink w:history="1" r:id="rIdd8en98he8l-oienhwp14z">
        <w:r>
          <w:rPr>
            <w:color w:val="007E9D"/>
            <w:sz w:val="20"/>
            <w:szCs w:val="20"/>
            <w:u w:val="single"/>
          </w:rPr>
          <w:t xml:space="preserve">https://benchmark.com</w:t>
        </w:r>
      </w:hyperlink>
    </w:p>
    <w:p>
      <w:pPr>
        <w:pStyle w:val="ReportBody"/>
        <w:spacing w:after="100"/>
      </w:pPr>
      <w:r>
        <w:rPr>
          <w:b/>
          <w:bCs/>
          <w:sz w:val="20"/>
          <w:szCs w:val="20"/>
        </w:rPr>
        <w:t xml:space="preserve">Accel profile: </w:t>
      </w:r>
      <w:hyperlink w:history="1" r:id="rIdiftn-2z99biwfg3db3w68">
        <w:r>
          <w:rPr>
            <w:color w:val="007E9D"/>
            <w:sz w:val="20"/>
            <w:szCs w:val="20"/>
            <w:u w:val="single"/>
          </w:rPr>
          <w:t xml:space="preserve">https://accel.com</w:t>
        </w:r>
      </w:hyperlink>
    </w:p>
    <w:p>
      <w:pPr>
        <w:pStyle w:val="ReportBody"/>
        <w:spacing w:after="100"/>
      </w:pPr>
      <w:r>
        <w:rPr>
          <w:b/>
          <w:bCs/>
          <w:sz w:val="20"/>
          <w:szCs w:val="20"/>
        </w:rPr>
        <w:t xml:space="preserve">Founders Fund profile: </w:t>
      </w:r>
      <w:hyperlink w:history="1" r:id="rIdmybvwwywa7ajoswrhdcoa">
        <w:r>
          <w:rPr>
            <w:color w:val="007E9D"/>
            <w:sz w:val="20"/>
            <w:szCs w:val="20"/>
            <w:u w:val="single"/>
          </w:rPr>
          <w:t xml:space="preserve">https://foundersfund.com</w:t>
        </w:r>
      </w:hyperlink>
    </w:p>
    <w:p>
      <w:pPr>
        <w:pStyle w:val="ReportBody"/>
        <w:spacing w:after="100"/>
      </w:pPr>
      <w:r>
        <w:rPr>
          <w:b/>
          <w:bCs/>
          <w:sz w:val="20"/>
          <w:szCs w:val="20"/>
        </w:rPr>
        <w:t xml:space="preserve">airstreet.com — official thesis: </w:t>
      </w:r>
      <w:hyperlink w:history="1" r:id="rIdhhhwufvpooig3pc2lfr-8">
        <w:r>
          <w:rPr>
            <w:color w:val="007E9D"/>
            <w:sz w:val="20"/>
            <w:szCs w:val="20"/>
            <w:u w:val="single"/>
          </w:rPr>
          <w:t xml:space="preserve">https://airstreet.com/thesis/</w:t>
        </w:r>
      </w:hyperlink>
    </w:p>
    <w:p>
      <w:pPr>
        <w:pStyle w:val="ReportBody"/>
        <w:spacing w:after="100"/>
      </w:pPr>
      <w:r>
        <w:rPr>
          <w:b/>
          <w:bCs/>
          <w:sz w:val="20"/>
          <w:szCs w:val="20"/>
        </w:rPr>
        <w:t xml:space="preserve">radical.vc — official thesis: </w:t>
      </w:r>
      <w:hyperlink w:history="1" r:id="rIdwcznpi0mdnw_juzjbadmq">
        <w:r>
          <w:rPr>
            <w:color w:val="007E9D"/>
            <w:sz w:val="20"/>
            <w:szCs w:val="20"/>
            <w:u w:val="single"/>
          </w:rPr>
          <w:t xml:space="preserve">https://radical.vc/thesis/</w:t>
        </w:r>
      </w:hyperlink>
    </w:p>
    <w:p>
      <w:pPr>
        <w:pStyle w:val="ReportBody"/>
        <w:spacing w:after="100"/>
      </w:pPr>
      <w:r>
        <w:rPr>
          <w:b/>
          <w:bCs/>
          <w:sz w:val="20"/>
          <w:szCs w:val="20"/>
        </w:rPr>
        <w:t xml:space="preserve">indexventures.com — official thesis: </w:t>
      </w:r>
      <w:hyperlink w:history="1" r:id="rIdbvznlzgdglbzf73vhvcn7">
        <w:r>
          <w:rPr>
            <w:color w:val="007E9D"/>
            <w:sz w:val="20"/>
            <w:szCs w:val="20"/>
            <w:u w:val="single"/>
          </w:rPr>
          <w:t xml:space="preserve">https://indexventures.com/perspectives/ai-the-platform-shift/</w:t>
        </w:r>
      </w:hyperlink>
    </w:p>
    <w:p>
      <w:pPr>
        <w:pStyle w:val="ReportBody"/>
        <w:spacing w:after="100"/>
      </w:pPr>
      <w:r>
        <w:rPr>
          <w:b/>
          <w:bCs/>
          <w:sz w:val="20"/>
          <w:szCs w:val="20"/>
        </w:rPr>
        <w:t xml:space="preserve">sequoiacap.com — official thesis: </w:t>
      </w:r>
      <w:hyperlink w:history="1" r:id="rIdeweoi_ls5uovtubgdf7fr">
        <w:r>
          <w:rPr>
            <w:color w:val="007E9D"/>
            <w:sz w:val="20"/>
            <w:szCs w:val="20"/>
            <w:u w:val="single"/>
          </w:rPr>
          <w:t xml:space="preserve">https://sequoiacap.com/article/ai-a-new-era/</w:t>
        </w:r>
      </w:hyperlink>
    </w:p>
    <w:p>
      <w:pPr>
        <w:pStyle w:val="ReportBody"/>
      </w:pPr>
      <w:r>
        <w:rPr>
          <w:b/>
          <w:bCs/>
          <w:sz w:val="20"/>
          <w:szCs w:val="20"/>
        </w:rPr>
        <w:t xml:space="preserve">This is an evidence-grounded research brief. Verify primary sources before making consequential decisions. This is not investment, legal, or financial advice.</w:t>
      </w:r>
    </w:p>
    <w:sectPr>
      <w:footerReference w:type="default" r:id="rId6"/>
      <w:pgSz w:w="11906" w:h="16838" w:orient="portrait"/>
      <w:pgMar w:top="900" w:right="900" w:bottom="900" w:left="9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6577"/>
        <w:sz w:val="16"/>
        <w:szCs w:val="16"/>
      </w:rPr>
      <w:t xml:space="preserve">Confidential  •  </w:t>
    </w:r>
    <w:r>
      <w:rPr>
        <w:color w:val="5265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071B2A"/>
        <w:sz w:val="21"/>
        <w:szCs w:val="21"/>
      </w:rPr>
    </w:rPrDefault>
    <w:pPrDefault>
      <w:pPr>
        <w:spacing w:after="120"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Subtitle"/>
    <w:pPr>
      <w:spacing w:after="180" w:before="120"/>
    </w:pPr>
    <w:rPr>
      <w:rFonts w:ascii="Aptos Display" w:cs="Aptos Display" w:eastAsia="Aptos Display" w:hAnsi="Aptos Display"/>
      <w:b/>
      <w:bCs/>
      <w:color w:val="071B2A"/>
      <w:sz w:val="56"/>
      <w:szCs w:val="56"/>
    </w:rPr>
  </w:style>
  <w:style w:type="paragraph" w:styleId="Subtitle">
    <w:name w:val="Subtitle"/>
    <w:basedOn w:val="Normal"/>
    <w:next w:val="Normal"/>
    <w:pPr>
      <w:spacing w:after="260"/>
    </w:pPr>
    <w:rPr>
      <w:rFonts w:ascii="Aptos" w:cs="Aptos" w:eastAsia="Aptos" w:hAnsi="Aptos"/>
      <w:color w:val="526577"/>
      <w:sz w:val="26"/>
      <w:szCs w:val="26"/>
    </w:rPr>
  </w:style>
  <w:style w:type="paragraph" w:styleId="ReportBody">
    <w:name w:val="Report Body"/>
    <w:basedOn w:val="Normal"/>
    <w:pPr>
      <w:spacing w:after="130" w:line="300"/>
    </w:pPr>
    <w:rPr>
      <w:rFonts w:ascii="Aptos" w:cs="Aptos" w:eastAsia="Aptos" w:hAnsi="Aptos"/>
      <w:color w:val="071B2A"/>
      <w:sz w:val="21"/>
      <w:szCs w:val="21"/>
    </w:rPr>
  </w:style>
  <w:style w:type="paragraph" w:styleId="Heading1">
    <w:name w:val="Heading 1"/>
    <w:basedOn w:val="Normal"/>
    <w:next w:val="ReportBody"/>
    <w:qFormat/>
    <w:pPr>
      <w:keepNext/>
      <w:spacing w:after="150" w:before="320"/>
    </w:pPr>
    <w:rPr>
      <w:rFonts w:ascii="Aptos Display" w:cs="Aptos Display" w:eastAsia="Aptos Display" w:hAnsi="Aptos Display"/>
      <w:b/>
      <w:bCs/>
      <w:color w:val="071B2A"/>
      <w:sz w:val="34"/>
      <w:szCs w:val="34"/>
    </w:rPr>
  </w:style>
  <w:style w:type="paragraph" w:styleId="Heading2">
    <w:name w:val="Heading 2"/>
    <w:basedOn w:val="Normal"/>
    <w:next w:val="ReportBody"/>
    <w:qFormat/>
    <w:pPr>
      <w:keepNext/>
      <w:spacing w:after="100" w:before="240"/>
    </w:pPr>
    <w:rPr>
      <w:rFonts w:ascii="Aptos Display" w:cs="Aptos Display" w:eastAsia="Aptos Display" w:hAnsi="Aptos Display"/>
      <w:b/>
      <w:bCs/>
      <w:color w:val="071B2A"/>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vdcuoyx8a03txsfxaavxc" Type="http://schemas.openxmlformats.org/officeDocument/2006/relationships/hyperlink" Target="https://techcrunch.com/2026/08/15/sarvam-ai-raises-41m-series-a-peak-xv/" TargetMode="External"/><Relationship Id="rIdhz_1ok38ntplt8lhjyrok" Type="http://schemas.openxmlformats.org/officeDocument/2006/relationships/hyperlink" Target="https://techcrunch.com/2026/07/20/krutrim-raises-50m-series-a-matrix/" TargetMode="External"/><Relationship Id="rIdze1j6yy5cyjdjc6plm_f5" Type="http://schemas.openxmlformats.org/officeDocument/2006/relationships/hyperlink" Target="https://venturebeat.com/2026/06/10/observe-ai-raises-125m-series-c-softbank/" TargetMode="External"/><Relationship Id="rId8kaiaig4ji-fosckvzxyk" Type="http://schemas.openxmlformats.org/officeDocument/2006/relationships/hyperlink" Target="https://techcrunch.com/2026/05/05/yellow-ai-raises-78m-series-c-westbridge/" TargetMode="External"/><Relationship Id="rIdvxjyj9joplzvdjfrt8goq" Type="http://schemas.openxmlformats.org/officeDocument/2006/relationships/hyperlink" Target="https://peakxv.com" TargetMode="External"/><Relationship Id="rIda69dtm7wmjyuuibcdurqd" Type="http://schemas.openxmlformats.org/officeDocument/2006/relationships/hyperlink" Target="https://peakxv.com/portfolio" TargetMode="External"/><Relationship Id="rIdpg6631fqlzpofdjexytdi" Type="http://schemas.openxmlformats.org/officeDocument/2006/relationships/hyperlink" Target="https://peakxv.com/feed/" TargetMode="External"/><Relationship Id="rId8ds3kqpv1rfycjof7rwly" Type="http://schemas.openxmlformats.org/officeDocument/2006/relationships/hyperlink" Target="https://3one4capital.com" TargetMode="External"/><Relationship Id="rIdi2fabhqi0vjewtm8bdgjj" Type="http://schemas.openxmlformats.org/officeDocument/2006/relationships/hyperlink" Target="https://3one4capital.com/portfolio" TargetMode="External"/><Relationship Id="rIddmdpipptvqfj1bfwigc8f" Type="http://schemas.openxmlformats.org/officeDocument/2006/relationships/hyperlink" Target="https://3one4capital.com/feed/" TargetMode="External"/><Relationship Id="rIddbnuxyq_npge3c9clbkzj" Type="http://schemas.openxmlformats.org/officeDocument/2006/relationships/hyperlink" Target="https://a16z.com" TargetMode="External"/><Relationship Id="rIdd8en98he8l-oienhwp14z" Type="http://schemas.openxmlformats.org/officeDocument/2006/relationships/hyperlink" Target="https://benchmark.com" TargetMode="External"/><Relationship Id="rIdiftn-2z99biwfg3db3w68" Type="http://schemas.openxmlformats.org/officeDocument/2006/relationships/hyperlink" Target="https://accel.com" TargetMode="External"/><Relationship Id="rIdmybvwwywa7ajoswrhdcoa" Type="http://schemas.openxmlformats.org/officeDocument/2006/relationships/hyperlink" Target="https://foundersfund.com" TargetMode="External"/><Relationship Id="rIdhhhwufvpooig3pc2lfr-8" Type="http://schemas.openxmlformats.org/officeDocument/2006/relationships/hyperlink" Target="https://airstreet.com/thesis/" TargetMode="External"/><Relationship Id="rIdwcznpi0mdnw_juzjbadmq" Type="http://schemas.openxmlformats.org/officeDocument/2006/relationships/hyperlink" Target="https://radical.vc/thesis/" TargetMode="External"/><Relationship Id="rIdbvznlzgdglbzf73vhvcn7" Type="http://schemas.openxmlformats.org/officeDocument/2006/relationships/hyperlink" Target="https://indexventures.com/perspectives/ai-the-platform-shift/" TargetMode="External"/><Relationship Id="rIdeweoi_ls5uovtubgdf7fr" Type="http://schemas.openxmlformats.org/officeDocument/2006/relationships/hyperlink" Target="https://sequoiacap.com/article/ai-a-new-era/"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Ecosystem Research: YC, Global vs India, 3-Year Direction</dc:title>
  <dc:creator>Personalized Intelligence</dc:creator>
  <dc:description>Evidence-grounded personalized market intelligence report</dc:description>
  <cp:lastModifiedBy>Un-named</cp:lastModifiedBy>
  <cp:revision>1</cp:revision>
  <dcterms:created xsi:type="dcterms:W3CDTF">2026-10-10T08:53:59.111Z</dcterms:created>
  <dcterms:modified xsi:type="dcterms:W3CDTF">2026-10-10T08:53:59.112Z</dcterms:modified>
</cp:coreProperties>
</file>

<file path=docProps/custom.xml><?xml version="1.0" encoding="utf-8"?>
<Properties xmlns="http://schemas.openxmlformats.org/officeDocument/2006/custom-properties" xmlns:vt="http://schemas.openxmlformats.org/officeDocument/2006/docPropsVTypes"/>
</file>