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Eyebrow"/>
      </w:pPr>
      <w:r>
        <w:t xml:space="preserve">VENTRO PERSONALIZED INTELLIGENCE</w:t>
      </w:r>
    </w:p>
    <w:p>
      <w:pPr>
        <w:pStyle w:val="Title"/>
      </w:pPr>
      <w:r>
        <w:t xml:space="preserve">AI Capital Signals: Personalized Research Brief</w:t>
      </w:r>
    </w:p>
    <w:p>
      <w:pPr>
        <w:pStyle w:val="Subtitle"/>
      </w:pPr>
      <w:r>
        <w:t xml:space="preserve">90-day personalized VC, YC, thesis, and pattern intelligence brief</w:t>
      </w:r>
    </w:p>
    <w:p>
      <w:pPr>
        <w:pStyle w:val="Meta"/>
      </w:pPr>
      <w:r>
        <w:t xml:space="preserve">Prepared October 9, 2026 at 5:30 PM</w:t>
      </w:r>
    </w:p>
    <w:p>
      <w:pPr>
        <w:pStyle w:val="Meta"/>
      </w:pPr>
      <w:r>
        <w:t xml:space="preserve">Audience: Investment committee</w:t>
      </w:r>
    </w:p>
    <w:p>
      <w:pPr>
        <w:pStyle w:val="Meta"/>
      </w:pPr>
      <w:r>
        <w:t xml:space="preserve">Purpose: Prioritize sectors and diligence questions for the next quarter</w:t>
      </w:r>
    </w:p>
    <w:p>
      <w:pPr>
        <w:pStyle w:val="Heading1"/>
        <w:pageBreakBefore/>
      </w:pPr>
      <w:r>
        <w:t xml:space="preserve">Executive summary</w:t>
      </w:r>
    </w:p>
    <w:p>
      <w:pPr>
        <w:pStyle w:val="Lead"/>
      </w:pPr>
      <w:r>
        <w:t xml:space="preserve">Verified activity in this sample is concentrated in early-stage infrastructure and application companies, while investor statements continue to emphasize developer tools and foundation-model infrastructure. The evidence is useful as a directional research brief, but the sample is not yet broad enough to establish a market-wide trend.</w:t>
      </w:r>
    </w:p>
    <w:tbl>
      <w:tblPr>
        <w:tblW w:type="pct" w:w="5000"/>
        <w:tblBorders>
          <w:top w:val="single" w:color="D9D5C9" w:sz="4"/>
          <w:left w:val="none"/>
          <w:bottom w:val="single" w:color="D9D5C9" w:sz="4"/>
          <w:right w:val="none"/>
          <w:insideH w:val="single" w:color="D9D5C9" w:sz="2"/>
          <w:insideV w:val="none"/>
        </w:tblBorders>
      </w:tblPr>
      <w:tblGrid>
        <w:gridCol w:w="3032"/>
        <w:gridCol w:w="7074"/>
      </w:tblGrid>
      <w:tr>
        <w:tc>
          <w:tcPr>
            <w:tcW w:type="pct" w:w="1500"/>
            <w:shd w:fill="F8F6F0" w:val="clear"/>
          </w:tcPr>
          <w:p>
            <w:r>
              <w:rPr>
                <w:b/>
                <w:bCs/>
                <w:color w:val="071B2A"/>
              </w:rPr>
              <w:t xml:space="preserve">Evidence window</w:t>
            </w:r>
          </w:p>
        </w:tc>
        <w:tc>
          <w:tcPr>
            <w:tcW w:type="pct" w:w="3500"/>
          </w:tcPr>
          <w:p>
            <w:r>
              <w:rPr>
                <w:color w:val="526577"/>
              </w:rPr>
              <w:t xml:space="preserve">7/11/2026 – 10/9/2026</w:t>
            </w:r>
          </w:p>
        </w:tc>
      </w:tr>
      <w:tr>
        <w:tc>
          <w:tcPr>
            <w:tcW w:type="pct" w:w="1500"/>
            <w:shd w:fill="F8F6F0" w:val="clear"/>
          </w:tcPr>
          <w:p>
            <w:r>
              <w:rPr>
                <w:b/>
                <w:bCs/>
                <w:color w:val="071B2A"/>
              </w:rPr>
              <w:t xml:space="preserve">Geography</w:t>
            </w:r>
          </w:p>
        </w:tc>
        <w:tc>
          <w:tcPr>
            <w:tcW w:type="pct" w:w="3500"/>
          </w:tcPr>
          <w:p>
            <w:r>
              <w:rPr>
                <w:color w:val="526577"/>
              </w:rPr>
              <w:t xml:space="preserve">India, United States</w:t>
            </w:r>
          </w:p>
        </w:tc>
      </w:tr>
      <w:tr>
        <w:tc>
          <w:tcPr>
            <w:tcW w:type="pct" w:w="1500"/>
            <w:shd w:fill="F8F6F0" w:val="clear"/>
          </w:tcPr>
          <w:p>
            <w:r>
              <w:rPr>
                <w:b/>
                <w:bCs/>
                <w:color w:val="071B2A"/>
              </w:rPr>
              <w:t xml:space="preserve">Selected investors</w:t>
            </w:r>
          </w:p>
        </w:tc>
        <w:tc>
          <w:tcPr>
            <w:tcW w:type="pct" w:w="3500"/>
          </w:tcPr>
          <w:p>
            <w:r>
              <w:rPr>
                <w:color w:val="526577"/>
              </w:rPr>
              <w:t xml:space="preserve">All qualifying investors</w:t>
            </w:r>
          </w:p>
        </w:tc>
      </w:tr>
      <w:tr>
        <w:tc>
          <w:tcPr>
            <w:tcW w:type="pct" w:w="1500"/>
            <w:shd w:fill="F8F6F0" w:val="clear"/>
          </w:tcPr>
          <w:p>
            <w:r>
              <w:rPr>
                <w:b/>
                <w:bCs/>
                <w:color w:val="071B2A"/>
              </w:rPr>
              <w:t xml:space="preserve">YC batches</w:t>
            </w:r>
          </w:p>
        </w:tc>
        <w:tc>
          <w:tcPr>
            <w:tcW w:type="pct" w:w="3500"/>
          </w:tcPr>
          <w:p>
            <w:r>
              <w:rPr>
                <w:color w:val="526577"/>
              </w:rPr>
              <w:t xml:space="preserve">W25, S24</w:t>
            </w:r>
          </w:p>
        </w:tc>
      </w:tr>
      <w:tr>
        <w:tc>
          <w:tcPr>
            <w:tcW w:type="pct" w:w="1500"/>
            <w:shd w:fill="F8F6F0" w:val="clear"/>
          </w:tcPr>
          <w:p>
            <w:r>
              <w:rPr>
                <w:b/>
                <w:bCs/>
                <w:color w:val="071B2A"/>
              </w:rPr>
              <w:t xml:space="preserve">Topics</w:t>
            </w:r>
          </w:p>
        </w:tc>
        <w:tc>
          <w:tcPr>
            <w:tcW w:type="pct" w:w="3500"/>
          </w:tcPr>
          <w:p>
            <w:r>
              <w:rPr>
                <w:color w:val="526577"/>
              </w:rPr>
              <w:t xml:space="preserve">developer tools, foundation models</w:t>
            </w:r>
          </w:p>
        </w:tc>
      </w:tr>
      <w:tr>
        <w:tc>
          <w:tcPr>
            <w:tcW w:type="pct" w:w="1500"/>
            <w:shd w:fill="F8F6F0" w:val="clear"/>
          </w:tcPr>
          <w:p>
            <w:r>
              <w:rPr>
                <w:b/>
                <w:bCs/>
                <w:color w:val="071B2A"/>
              </w:rPr>
              <w:t xml:space="preserve">Target length</w:t>
            </w:r>
          </w:p>
        </w:tc>
        <w:tc>
          <w:tcPr>
            <w:tcW w:type="pct" w:w="3500"/>
          </w:tcPr>
          <w:p>
            <w:r>
              <w:rPr>
                <w:color w:val="526577"/>
              </w:rPr>
              <w:t xml:space="preserve">6 pages (approximate)</w:t>
            </w:r>
          </w:p>
        </w:tc>
      </w:tr>
    </w:tbl>
    <w:p>
      <w:pPr>
        <w:pStyle w:val="Heading2"/>
      </w:pPr>
      <w:r>
        <w:t xml:space="preserve">How to use this report</w:t>
      </w:r>
    </w:p>
    <w:p>
      <w:pPr>
        <w:pStyle w:val="ReportBody"/>
      </w:pPr>
      <w:r>
        <w:t xml:space="preserve">Use this as a research starting point. Review the cited evidence, edit the language, and add your own context before relying on or sharing the document. Personal editing is essential to make the final report distinct and decision-specific.</w:t>
      </w:r>
    </w:p>
    <w:p>
      <w:pPr>
        <w:pStyle w:val="Heading1"/>
      </w:pPr>
      <w:r>
        <w:t xml:space="preserve">Capital flow and verified investments</w:t>
      </w:r>
    </w:p>
    <w:p>
      <w:pPr>
        <w:pStyle w:val="Lead"/>
      </w:pPr>
      <w:r>
        <w:t xml:space="preserve">Three verified rounds matched the selected window and scope.</w:t>
      </w:r>
      <w:r>
        <w:rPr>
          <w:color w:val="007E9D"/>
          <w:sz w:val="18"/>
          <w:szCs w:val="18"/>
        </w:rPr>
        <w:t xml:space="preserve">  [1, 2]</w:t>
      </w:r>
    </w:p>
    <w:p>
      <w:pPr>
        <w:pStyle w:val="ListParagraph"/>
        <w:pStyle w:val="ReportBody"/>
        <w:numPr>
          <w:ilvl w:val="0"/>
          <w:numId w:val="1"/>
        </w:numPr>
        <w:spacing w:after="100"/>
      </w:pPr>
      <w:r>
        <w:t xml:space="preserve">Parallax: Series A with Greylock.</w:t>
      </w:r>
      <w:r>
        <w:rPr>
          <w:color w:val="007E9D"/>
          <w:sz w:val="18"/>
          <w:szCs w:val="18"/>
        </w:rPr>
        <w:t xml:space="preserve">  [1, 2]</w:t>
      </w:r>
    </w:p>
    <w:p>
      <w:pPr>
        <w:pStyle w:val="ListParagraph"/>
        <w:pStyle w:val="ReportBody"/>
        <w:numPr>
          <w:ilvl w:val="0"/>
          <w:numId w:val="1"/>
        </w:numPr>
        <w:spacing w:after="100"/>
      </w:pPr>
      <w:r>
        <w:t xml:space="preserve">Antioch: Series A with Greylock.</w:t>
      </w:r>
      <w:r>
        <w:rPr>
          <w:color w:val="007E9D"/>
          <w:sz w:val="18"/>
          <w:szCs w:val="18"/>
        </w:rPr>
        <w:t xml:space="preserve">  [1, 2]</w:t>
      </w:r>
    </w:p>
    <w:p>
      <w:pPr>
        <w:pStyle w:val="ListParagraph"/>
        <w:pStyle w:val="ReportBody"/>
        <w:numPr>
          <w:ilvl w:val="0"/>
          <w:numId w:val="1"/>
        </w:numPr>
        <w:spacing w:after="100"/>
      </w:pPr>
      <w:r>
        <w:t xml:space="preserve">Etched: verified investment evidence associated with Sequoia Capital.</w:t>
      </w:r>
      <w:r>
        <w:rPr>
          <w:color w:val="007E9D"/>
          <w:sz w:val="18"/>
          <w:szCs w:val="18"/>
        </w:rPr>
        <w:t xml:space="preserve">  [1, 2]</w:t>
      </w:r>
    </w:p>
    <w:p>
      <w:pPr>
        <w:pStyle w:val="ListParagraph"/>
        <w:pStyle w:val="ReportBody"/>
        <w:numPr>
          <w:ilvl w:val="0"/>
          <w:numId w:val="1"/>
        </w:numPr>
        <w:spacing w:after="100"/>
      </w:pPr>
      <w:r>
        <w:t xml:space="preserve">No qualifying round disclosed an amount; undisclosed rounds are not treated as zero.</w:t>
      </w:r>
      <w:r>
        <w:rPr>
          <w:color w:val="007E9D"/>
          <w:sz w:val="18"/>
          <w:szCs w:val="18"/>
        </w:rPr>
        <w:t xml:space="preserve">  [1, 2]</w:t>
      </w:r>
    </w:p>
    <w:p>
      <w:pPr>
        <w:pStyle w:val="Heading1"/>
      </w:pPr>
      <w:r>
        <w:t xml:space="preserve">What investors say and what behavior suggests</w:t>
      </w:r>
    </w:p>
    <w:p>
      <w:pPr>
        <w:pStyle w:val="Lead"/>
      </w:pPr>
      <w:r>
        <w:t xml:space="preserve">Official statements and observed behavior are kept separate so attribution remains clear.</w:t>
      </w:r>
      <w:r>
        <w:rPr>
          <w:color w:val="007E9D"/>
          <w:sz w:val="18"/>
          <w:szCs w:val="18"/>
        </w:rPr>
        <w:t xml:space="preserve">  [2, 3]</w:t>
      </w:r>
    </w:p>
    <w:p>
      <w:pPr>
        <w:pStyle w:val="ListParagraph"/>
        <w:pStyle w:val="ReportBody"/>
        <w:numPr>
          <w:ilvl w:val="0"/>
          <w:numId w:val="1"/>
        </w:numPr>
        <w:spacing w:after="100"/>
      </w:pPr>
      <w:r>
        <w:t xml:space="preserve">Stated themes emphasize applications, developer tools, infrastructure, and foundation models.</w:t>
      </w:r>
      <w:r>
        <w:rPr>
          <w:color w:val="007E9D"/>
          <w:sz w:val="18"/>
          <w:szCs w:val="18"/>
        </w:rPr>
        <w:t xml:space="preserve">  [2, 3]</w:t>
      </w:r>
    </w:p>
    <w:p>
      <w:pPr>
        <w:pStyle w:val="ListParagraph"/>
        <w:pStyle w:val="ReportBody"/>
        <w:numPr>
          <w:ilvl w:val="0"/>
          <w:numId w:val="1"/>
        </w:numPr>
        <w:spacing w:after="100"/>
      </w:pPr>
      <w:r>
        <w:t xml:space="preserve">Observed behavior is beginning to reinforce applications and foundation-model infrastructure, but the verified sample remains limited.</w:t>
      </w:r>
      <w:r>
        <w:rPr>
          <w:color w:val="007E9D"/>
          <w:sz w:val="18"/>
          <w:szCs w:val="18"/>
        </w:rPr>
        <w:t xml:space="preserve">  [2, 3]</w:t>
      </w:r>
    </w:p>
    <w:p>
      <w:pPr>
        <w:pStyle w:val="Heading1"/>
        <w:pageBreakBefore/>
      </w:pPr>
      <w:r>
        <w:t xml:space="preserve">Y Combinator signals</w:t>
      </w:r>
    </w:p>
    <w:p>
      <w:pPr>
        <w:pStyle w:val="Lead"/>
      </w:pPr>
      <w:r>
        <w:t xml:space="preserve">Batch composition is a descriptive signal rather than a prediction of company quality.</w:t>
      </w:r>
      <w:r>
        <w:rPr>
          <w:color w:val="007E9D"/>
          <w:sz w:val="18"/>
          <w:szCs w:val="18"/>
        </w:rPr>
        <w:t xml:space="preserve">  [4]</w:t>
      </w:r>
    </w:p>
    <w:p>
      <w:pPr>
        <w:pStyle w:val="ListParagraph"/>
        <w:pStyle w:val="ReportBody"/>
        <w:numPr>
          <w:ilvl w:val="0"/>
          <w:numId w:val="1"/>
        </w:numPr>
        <w:spacing w:after="100"/>
      </w:pPr>
      <w:r>
        <w:t xml:space="preserve">Recent batches show continued representation of developer tooling and applied AI companies.</w:t>
      </w:r>
      <w:r>
        <w:rPr>
          <w:color w:val="007E9D"/>
          <w:sz w:val="18"/>
          <w:szCs w:val="18"/>
        </w:rPr>
        <w:t xml:space="preserve">  [4]</w:t>
      </w:r>
    </w:p>
    <w:p>
      <w:pPr>
        <w:pStyle w:val="ListParagraph"/>
        <w:pStyle w:val="ReportBody"/>
        <w:numPr>
          <w:ilvl w:val="0"/>
          <w:numId w:val="1"/>
        </w:numPr>
        <w:spacing w:after="100"/>
      </w:pPr>
      <w:r>
        <w:t xml:space="preserve">Compare the current composition with completed historical batches before inferring acceleration.</w:t>
      </w:r>
      <w:r>
        <w:rPr>
          <w:color w:val="007E9D"/>
          <w:sz w:val="18"/>
          <w:szCs w:val="18"/>
        </w:rPr>
        <w:t xml:space="preserve">  [4]</w:t>
      </w:r>
    </w:p>
    <w:p>
      <w:pPr>
        <w:pStyle w:val="Heading1"/>
      </w:pPr>
      <w:r>
        <w:t xml:space="preserve">Market patterns</w:t>
      </w:r>
    </w:p>
    <w:p>
      <w:pPr>
        <w:pStyle w:val="Lead"/>
      </w:pPr>
      <w:r>
        <w:t xml:space="preserve">Published patterns are retained only when their sample and evidence thresholds are satisfied.</w:t>
      </w:r>
      <w:r>
        <w:rPr>
          <w:color w:val="007E9D"/>
          <w:sz w:val="18"/>
          <w:szCs w:val="18"/>
        </w:rPr>
        <w:t xml:space="preserve">  [1, 2, 3]</w:t>
      </w:r>
    </w:p>
    <w:p>
      <w:pPr>
        <w:pStyle w:val="ListParagraph"/>
        <w:pStyle w:val="ReportBody"/>
        <w:numPr>
          <w:ilvl w:val="0"/>
          <w:numId w:val="1"/>
        </w:numPr>
        <w:spacing w:after="100"/>
      </w:pPr>
      <w:r>
        <w:t xml:space="preserve">Infrastructure remains visible across both investment evidence and official investor commentary.</w:t>
      </w:r>
      <w:r>
        <w:rPr>
          <w:color w:val="007E9D"/>
          <w:sz w:val="18"/>
          <w:szCs w:val="18"/>
        </w:rPr>
        <w:t xml:space="preserve">  [1, 2, 3]</w:t>
      </w:r>
    </w:p>
    <w:p>
      <w:pPr>
        <w:pStyle w:val="ListParagraph"/>
        <w:pStyle w:val="ReportBody"/>
        <w:numPr>
          <w:ilvl w:val="0"/>
          <w:numId w:val="1"/>
        </w:numPr>
        <w:spacing w:after="100"/>
      </w:pPr>
      <w:r>
        <w:t xml:space="preserve">The available window does not yet support a strong capital-volume comparison.</w:t>
      </w:r>
      <w:r>
        <w:rPr>
          <w:color w:val="007E9D"/>
          <w:sz w:val="18"/>
          <w:szCs w:val="18"/>
        </w:rPr>
        <w:t xml:space="preserve">  [1, 2, 3]</w:t>
      </w:r>
    </w:p>
    <w:p>
      <w:pPr>
        <w:pStyle w:val="Heading1"/>
        <w:pageBreakBefore/>
      </w:pPr>
      <w:r>
        <w:t xml:space="preserve">Interpretation and next questions</w:t>
      </w:r>
    </w:p>
    <w:p>
      <w:pPr>
        <w:pStyle w:val="Lead"/>
      </w:pPr>
      <w:r>
        <w:t xml:space="preserve">These are research prompts, not predictions or investment advice.</w:t>
      </w:r>
    </w:p>
    <w:p>
      <w:pPr>
        <w:pStyle w:val="ListParagraph"/>
        <w:pStyle w:val="ReportBody"/>
        <w:numPr>
          <w:ilvl w:val="0"/>
          <w:numId w:val="1"/>
        </w:numPr>
        <w:spacing w:after="100"/>
      </w:pPr>
      <w:r>
        <w:t xml:space="preserve">Test whether infrastructure activity persists in the next 90-day window.</w:t>
      </w:r>
    </w:p>
    <w:p>
      <w:pPr>
        <w:pStyle w:val="ListParagraph"/>
        <w:pStyle w:val="ReportBody"/>
        <w:numPr>
          <w:ilvl w:val="0"/>
          <w:numId w:val="1"/>
        </w:numPr>
        <w:spacing w:after="100"/>
      </w:pPr>
      <w:r>
        <w:t xml:space="preserve">Ask whether application-layer investments are converging on repeatable go-to-market patterns.</w:t>
      </w:r>
    </w:p>
    <w:p>
      <w:pPr>
        <w:pStyle w:val="ListParagraph"/>
        <w:pStyle w:val="ReportBody"/>
        <w:numPr>
          <w:ilvl w:val="0"/>
          <w:numId w:val="1"/>
        </w:numPr>
        <w:spacing w:after="100"/>
      </w:pPr>
      <w:r>
        <w:t xml:space="preserve">Read each cited primary source and add decision-specific judgment before circulation.</w:t>
      </w:r>
    </w:p>
    <w:p>
      <w:pPr>
        <w:pStyle w:val="Heading1"/>
        <w:pageBreakBefore/>
      </w:pPr>
      <w:r>
        <w:t xml:space="preserve">Methodology and caveats</w:t>
      </w:r>
    </w:p>
    <w:p>
      <w:pPr>
        <w:pStyle w:val="ReportBody"/>
      </w:pPr>
      <w:r>
        <w:t xml:space="preserve">Ventro includes only evidence that meets its publication contracts. Official statements and observed behavior remain separately labelled. Undisclosed values are never counted as zero.</w:t>
      </w:r>
    </w:p>
    <w:p>
      <w:pPr>
        <w:pStyle w:val="ListParagraph"/>
        <w:pStyle w:val="ReportBody"/>
        <w:numPr>
          <w:ilvl w:val="0"/>
          <w:numId w:val="1"/>
        </w:numPr>
        <w:spacing w:after="100"/>
      </w:pPr>
      <w:r>
        <w:t xml:space="preserve">The verified funding sample is small.</w:t>
      </w:r>
    </w:p>
    <w:p>
      <w:pPr>
        <w:pStyle w:val="ListParagraph"/>
        <w:pStyle w:val="ReportBody"/>
        <w:numPr>
          <w:ilvl w:val="0"/>
          <w:numId w:val="1"/>
        </w:numPr>
        <w:spacing w:after="100"/>
      </w:pPr>
      <w:r>
        <w:t xml:space="preserve">Undisclosed amounts are counted as undisclosed, not as zero.</w:t>
      </w:r>
    </w:p>
    <w:p>
      <w:pPr>
        <w:pStyle w:val="ListParagraph"/>
        <w:pStyle w:val="ReportBody"/>
        <w:numPr>
          <w:ilvl w:val="0"/>
          <w:numId w:val="1"/>
        </w:numPr>
        <w:spacing w:after="100"/>
      </w:pPr>
      <w:r>
        <w:t xml:space="preserve">A target page count guides content density; exact pagination varies by DOCX renderer and edits.</w:t>
      </w:r>
    </w:p>
    <w:p>
      <w:pPr>
        <w:pStyle w:val="Heading1"/>
        <w:pageBreakBefore/>
      </w:pPr>
      <w:r>
        <w:t xml:space="preserve">Source register</w:t>
      </w:r>
    </w:p>
    <w:p>
      <w:pPr>
        <w:pStyle w:val="ReportBody"/>
        <w:spacing w:after="100"/>
      </w:pPr>
      <w:r>
        <w:rPr>
          <w:b/>
          <w:bCs/>
        </w:rPr>
        <w:t xml:space="preserve">[1] Greylock portfolio evidence: </w:t>
      </w:r>
      <w:hyperlink w:history="1" r:id="rIdzt0cyx-udk3x2al214cs3">
        <w:r>
          <w:rPr>
            <w:color w:val="007E9D"/>
            <w:u w:val="single"/>
          </w:rPr>
          <w:t xml:space="preserve">https://greylock.com/</w:t>
        </w:r>
      </w:hyperlink>
    </w:p>
    <w:p>
      <w:pPr>
        <w:pStyle w:val="ReportBody"/>
        <w:spacing w:after="100"/>
      </w:pPr>
      <w:r>
        <w:rPr>
          <w:b/>
          <w:bCs/>
        </w:rPr>
        <w:t xml:space="preserve">[2] Sequoia Capital stated thesis: </w:t>
      </w:r>
      <w:hyperlink w:history="1" r:id="rIdwb5wnccxxjmgc5l03zqah">
        <w:r>
          <w:rPr>
            <w:color w:val="007E9D"/>
            <w:u w:val="single"/>
          </w:rPr>
          <w:t xml:space="preserve">https://www.sequoiacap.com/</w:t>
        </w:r>
      </w:hyperlink>
    </w:p>
    <w:p>
      <w:pPr>
        <w:pStyle w:val="ReportBody"/>
        <w:spacing w:after="100"/>
      </w:pPr>
      <w:r>
        <w:rPr>
          <w:b/>
          <w:bCs/>
        </w:rPr>
        <w:t xml:space="preserve">[3] Andreessen Horowitz stated thesis: </w:t>
      </w:r>
      <w:hyperlink w:history="1" r:id="rIdmsykxnpwucsw_h0zybfd0">
        <w:r>
          <w:rPr>
            <w:color w:val="007E9D"/>
            <w:u w:val="single"/>
          </w:rPr>
          <w:t xml:space="preserve">https://a16z.com/</w:t>
        </w:r>
      </w:hyperlink>
    </w:p>
    <w:p>
      <w:pPr>
        <w:pStyle w:val="ReportBody"/>
        <w:spacing w:after="100"/>
      </w:pPr>
      <w:r>
        <w:rPr>
          <w:b/>
          <w:bCs/>
        </w:rPr>
        <w:t xml:space="preserve">[4] Y Combinator company directory: </w:t>
      </w:r>
      <w:hyperlink w:history="1" r:id="rIdkpd25lncl6w62muprjh34">
        <w:r>
          <w:rPr>
            <w:color w:val="007E9D"/>
            <w:u w:val="single"/>
          </w:rPr>
          <w:t xml:space="preserve">https://www.ycombinator.com/companies</w:t>
        </w:r>
      </w:hyperlink>
    </w:p>
    <w:p>
      <w:pPr>
        <w:pStyle w:val="Heading2"/>
      </w:pPr>
      <w:r>
        <w:t xml:space="preserve">Final review reminder</w:t>
      </w:r>
    </w:p>
    <w:p>
      <w:pPr>
        <w:pStyle w:val="ReportBody"/>
      </w:pPr>
      <w:r>
        <w:rPr>
          <w:b/>
          <w:bCs/>
        </w:rPr>
        <w:t xml:space="preserve">AI-generated research brief — verify the sources, edit the analysis, and personalize the conclusions before relying on or sharing it. This is not investment, legal, or financial advice.</w:t>
      </w:r>
    </w:p>
    <w:sectPr>
      <w:footerReference w:type="default" r:id="rId6"/>
      <w:pgSz w:w="11906" w:h="16838" w:orient="portrait"/>
      <w:pgMar w:top="900" w:right="900" w:bottom="90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6577"/>
        <w:sz w:val="16"/>
        <w:szCs w:val="16"/>
      </w:rPr>
      <w:t xml:space="preserve">VENTRO  •  </w:t>
    </w:r>
    <w:r>
      <w:rPr>
        <w:color w:val="5265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71B2A"/>
        <w:sz w:val="21"/>
        <w:szCs w:val="21"/>
      </w:rPr>
    </w:rPrDefault>
    <w:pPrDefault>
      <w:pPr>
        <w:spacing w:after="120"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Subtitle"/>
    <w:pPr>
      <w:spacing w:after="180" w:before="120"/>
    </w:pPr>
    <w:rPr>
      <w:rFonts w:ascii="Aptos Display" w:cs="Aptos Display" w:eastAsia="Aptos Display" w:hAnsi="Aptos Display"/>
      <w:b/>
      <w:bCs/>
      <w:color w:val="071B2A"/>
      <w:sz w:val="56"/>
      <w:szCs w:val="56"/>
    </w:rPr>
  </w:style>
  <w:style w:type="paragraph" w:styleId="Subtitle">
    <w:name w:val="Subtitle"/>
    <w:basedOn w:val="Normal"/>
    <w:next w:val="Normal"/>
    <w:pPr>
      <w:spacing w:after="260"/>
    </w:pPr>
    <w:rPr>
      <w:rFonts w:ascii="Aptos" w:cs="Aptos" w:eastAsia="Aptos" w:hAnsi="Aptos"/>
      <w:color w:val="526577"/>
      <w:sz w:val="26"/>
      <w:szCs w:val="26"/>
    </w:rPr>
  </w:style>
  <w:style w:type="paragraph" w:styleId="Eyebrow">
    <w:name w:val="Eyebrow"/>
    <w:basedOn w:val="Normal"/>
    <w:pPr>
      <w:spacing w:after="120" w:before="500"/>
    </w:pPr>
    <w:rPr>
      <w:rFonts w:ascii="Aptos" w:cs="Aptos" w:eastAsia="Aptos" w:hAnsi="Aptos"/>
      <w:b/>
      <w:bCs/>
      <w:color w:val="007E9D"/>
      <w:spacing w:val="40"/>
      <w:sz w:val="18"/>
      <w:szCs w:val="18"/>
    </w:rPr>
  </w:style>
  <w:style w:type="paragraph" w:styleId="Meta">
    <w:name w:val="Meta"/>
    <w:basedOn w:val="Normal"/>
    <w:pPr>
      <w:spacing w:after="70"/>
    </w:pPr>
    <w:rPr>
      <w:rFonts w:ascii="Aptos" w:cs="Aptos" w:eastAsia="Aptos" w:hAnsi="Aptos"/>
      <w:color w:val="526577"/>
      <w:sz w:val="18"/>
      <w:szCs w:val="18"/>
    </w:rPr>
  </w:style>
  <w:style w:type="paragraph" w:styleId="Lead">
    <w:name w:val="Lead"/>
    <w:basedOn w:val="Normal"/>
    <w:pPr>
      <w:spacing w:after="220" w:line="330"/>
    </w:pPr>
    <w:rPr>
      <w:rFonts w:ascii="Aptos" w:cs="Aptos" w:eastAsia="Aptos" w:hAnsi="Aptos"/>
      <w:color w:val="071B2A"/>
      <w:sz w:val="25"/>
      <w:szCs w:val="25"/>
    </w:rPr>
  </w:style>
  <w:style w:type="paragraph" w:styleId="ReportBody">
    <w:name w:val="Report Body"/>
    <w:basedOn w:val="Normal"/>
    <w:pPr>
      <w:spacing w:after="130" w:line="300"/>
    </w:pPr>
    <w:rPr>
      <w:rFonts w:ascii="Aptos" w:cs="Aptos" w:eastAsia="Aptos" w:hAnsi="Aptos"/>
      <w:color w:val="071B2A"/>
      <w:sz w:val="21"/>
      <w:szCs w:val="21"/>
    </w:rPr>
  </w:style>
  <w:style w:type="paragraph" w:styleId="Heading1">
    <w:name w:val="Heading 1"/>
    <w:basedOn w:val="Normal"/>
    <w:next w:val="ReportBody"/>
    <w:qFormat/>
    <w:pPr>
      <w:keepNext/>
      <w:spacing w:after="150" w:before="320"/>
    </w:pPr>
    <w:rPr>
      <w:rFonts w:ascii="Aptos Display" w:cs="Aptos Display" w:eastAsia="Aptos Display" w:hAnsi="Aptos Display"/>
      <w:b/>
      <w:bCs/>
      <w:color w:val="071B2A"/>
      <w:sz w:val="34"/>
      <w:szCs w:val="34"/>
    </w:rPr>
  </w:style>
  <w:style w:type="paragraph" w:styleId="Heading2">
    <w:name w:val="Heading 2"/>
    <w:basedOn w:val="Normal"/>
    <w:next w:val="ReportBody"/>
    <w:qFormat/>
    <w:pPr>
      <w:keepNext/>
      <w:spacing w:after="100" w:before="240"/>
    </w:pPr>
    <w:rPr>
      <w:rFonts w:ascii="Aptos Display" w:cs="Aptos Display" w:eastAsia="Aptos Display" w:hAnsi="Aptos Display"/>
      <w:b/>
      <w:bCs/>
      <w:color w:val="071B2A"/>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zt0cyx-udk3x2al214cs3" Type="http://schemas.openxmlformats.org/officeDocument/2006/relationships/hyperlink" Target="https://greylock.com/" TargetMode="External"/><Relationship Id="rIdwb5wnccxxjmgc5l03zqah" Type="http://schemas.openxmlformats.org/officeDocument/2006/relationships/hyperlink" Target="https://www.sequoiacap.com/" TargetMode="External"/><Relationship Id="rIdmsykxnpwucsw_h0zybfd0" Type="http://schemas.openxmlformats.org/officeDocument/2006/relationships/hyperlink" Target="https://a16z.com/" TargetMode="External"/><Relationship Id="rIdkpd25lncl6w62muprjh34" Type="http://schemas.openxmlformats.org/officeDocument/2006/relationships/hyperlink" Target="https://www.ycombinator.com/companies"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Capital Signals: Personalized Research Brief</dc:title>
  <dc:creator>Ventro</dc:creator>
  <dc:description>Evidence-grounded personalized VC and YC intelligence report</dc:description>
  <cp:lastModifiedBy>Un-named</cp:lastModifiedBy>
  <cp:revision>1</cp:revision>
  <dcterms:created xsi:type="dcterms:W3CDTF">2026-10-09T18:49:37.985Z</dcterms:created>
  <dcterms:modified xsi:type="dcterms:W3CDTF">2026-10-09T18:49:37.985Z</dcterms:modified>
</cp:coreProperties>
</file>

<file path=docProps/custom.xml><?xml version="1.0" encoding="utf-8"?>
<Properties xmlns="http://schemas.openxmlformats.org/officeDocument/2006/custom-properties" xmlns:vt="http://schemas.openxmlformats.org/officeDocument/2006/docPropsVTypes"/>
</file>