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Практикум. 3 занятие.</w:t>
      </w:r>
    </w:p>
    <w:p w:rsidR="00000000" w:rsidDel="00000000" w:rsidP="00000000" w:rsidRDefault="00000000" w:rsidRPr="00000000" w14:paraId="00000002">
      <w:pPr>
        <w:ind w:right="-607.795275590551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607.7952755905511" w:hanging="360"/>
        <w:rPr/>
      </w:pPr>
      <w:r w:rsidDel="00000000" w:rsidR="00000000" w:rsidRPr="00000000">
        <w:rPr>
          <w:rtl w:val="0"/>
        </w:rPr>
        <w:t xml:space="preserve">Придумайте по одному примеру функционала для каждой техники тест-дизайна.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тестирование ввода значений с банковской карты можно протестировать, использовав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Граничные Значения. И написать проверку с конкретными значениями.</w:t>
      </w:r>
    </w:p>
    <w:p w:rsidR="00000000" w:rsidDel="00000000" w:rsidP="00000000" w:rsidRDefault="00000000" w:rsidRPr="00000000" w14:paraId="00000004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br w:type="textWrapping"/>
        <w:t xml:space="preserve">Подсказка: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можно использовать сразу несколько техник.</w:t>
      </w:r>
    </w:p>
    <w:p w:rsidR="00000000" w:rsidDel="00000000" w:rsidP="00000000" w:rsidRDefault="00000000" w:rsidRPr="00000000" w14:paraId="00000005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right="-607.7952755905511" w:hanging="360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Проверку возраста пользователя можно провести при помощи эквивалентных групп и граничных значений.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right="-607.7952755905511" w:hanging="360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Проверку поля мобильный телефон или адреса электронной почты можно способом эквивалентных значений.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right="-607.7952755905511" w:hanging="360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Проверка валидности данных в форме регистрации на сайте может быть проведена методом Таблицы принятия решений.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right="-607.7952755905511" w:hanging="360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Тестирование работы фильтров интернет-магазина можно провести методом парного тестирования.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right="-607.7952755905511" w:hanging="360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Проверка входа пользователя в систему после неуспешной попытки входа и восстановления пароля может быть проведена способом перехода состояний.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right="-607.7952755905511" w:hanging="360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Тестирование прав пользователя/суперпользователя системы можно протестировать при помощи проверки сценариев использования.</w:t>
      </w:r>
    </w:p>
    <w:p w:rsidR="00000000" w:rsidDel="00000000" w:rsidP="00000000" w:rsidRDefault="00000000" w:rsidRPr="00000000" w14:paraId="0000000D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607.7952755905511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Воспользуйтесь эквивалентным разбиением при тестировании формы, которая принимает 4 типа файлов до 30 МБ: .pdf, .txt, docx, .xlsx.</w:t>
      </w:r>
    </w:p>
    <w:p w:rsidR="00000000" w:rsidDel="00000000" w:rsidP="00000000" w:rsidRDefault="00000000" w:rsidRPr="00000000" w14:paraId="0000000F">
      <w:pPr>
        <w:ind w:right="-607.795275590551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07.7952755905511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При тестировании данным методом необходимо провести проверку загрузки каждого типа файлов размером до 30 МБ и одно проверку загрузки файла более 30 МБ, всего 5 проверок.</w:t>
      </w:r>
    </w:p>
    <w:p w:rsidR="00000000" w:rsidDel="00000000" w:rsidP="00000000" w:rsidRDefault="00000000" w:rsidRPr="00000000" w14:paraId="00000011">
      <w:pPr>
        <w:ind w:right="-607.795275590551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-607.7952755905511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Воспользуйтесь сайтом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https://www.rzd.ru/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при регистрации нового юзера необходимо придумать логин. На основе техники граничных значений составьте таблицу проверок.</w:t>
        <w:br w:type="textWrapping"/>
        <w:br w:type="textWrapping"/>
      </w: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671888" cy="20614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061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  <w:br w:type="textWrapping"/>
      </w:r>
    </w:p>
    <w:tbl>
      <w:tblPr>
        <w:tblStyle w:val="Table1"/>
        <w:tblW w:w="69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05"/>
        <w:gridCol w:w="705"/>
        <w:gridCol w:w="705"/>
        <w:gridCol w:w="705"/>
        <w:gridCol w:w="705"/>
        <w:gridCol w:w="705"/>
        <w:gridCol w:w="705"/>
        <w:tblGridChange w:id="0">
          <w:tblGrid>
            <w:gridCol w:w="2010"/>
            <w:gridCol w:w="705"/>
            <w:gridCol w:w="705"/>
            <w:gridCol w:w="705"/>
            <w:gridCol w:w="705"/>
            <w:gridCol w:w="705"/>
            <w:gridCol w:w="705"/>
            <w:gridCol w:w="70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Число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Число символов “-” подряд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Число цифр в логине состоящем только из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351c7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51c75"/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4B">
      <w:pPr>
        <w:ind w:right="-607.7952755905511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607.7952755905511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Методом проверки граничных значений удастся покрыть не все случаи возможных логинов. Дополнительно можно использовать метод эквивалентного разбиения на валидные и невалидные логины.</w:t>
      </w:r>
    </w:p>
    <w:p w:rsidR="00000000" w:rsidDel="00000000" w:rsidP="00000000" w:rsidRDefault="00000000" w:rsidRPr="00000000" w14:paraId="0000004D">
      <w:pPr>
        <w:ind w:right="-607.7952755905511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607.7952755905511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Проверка, что элементам группы 1-7 присвоены 7 значений от пн до вс.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Аналогичная проверка для элементов группы 8-14.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Та же проверка для группы 22-28.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Проверка того, что элементам группы 28-31 присвоено число значений равное числу элементов группы и эти значения последовательны от меньшего (пн) к большему (вс).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607.7952755905511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Воспользуйтесь одной из техник для тестирования флоу покупки билета на сайте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https://www.rzd.ru/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авторизованным пользователем до фактической оплаты билеты.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607.7952755905511"/>
        <w:jc w:val="left"/>
        <w:rPr>
          <w:color w:val="351c75"/>
          <w:sz w:val="24"/>
          <w:szCs w:val="24"/>
          <w:highlight w:val="white"/>
        </w:rPr>
      </w:pPr>
      <w:r w:rsidDel="00000000" w:rsidR="00000000" w:rsidRPr="00000000">
        <w:rPr>
          <w:color w:val="351c75"/>
          <w:sz w:val="24"/>
          <w:szCs w:val="24"/>
          <w:highlight w:val="white"/>
          <w:rtl w:val="0"/>
        </w:rPr>
        <w:t xml:space="preserve">Для тестирования сайта РЖД удобнее всего воспользоваться техникой тестирования пользовательских сценариев.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607.7952755905511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07.7952755905511" w:hanging="360"/>
        <w:jc w:val="left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Тестируем Сайт недвижимости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https://r.onliner.by/pk/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где есть: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607.7952755905511"/>
        <w:jc w:val="left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76" w:lineRule="auto"/>
        <w:ind w:left="1440" w:right="-607.7952755905511" w:hanging="360"/>
        <w:jc w:val="left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возможность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покупка, аренда;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before="200" w:beforeAutospacing="0" w:line="458.1818181818182" w:lineRule="auto"/>
        <w:ind w:left="1440" w:right="-607.7952755905511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тип жилья: квартира, комната;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beforeAutospacing="0" w:line="458.1818181818182" w:lineRule="auto"/>
        <w:ind w:left="1440" w:right="-607.7952755905511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город: Минск или любой другой;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before="0" w:beforeAutospacing="0" w:line="458.1818181818182" w:lineRule="auto"/>
        <w:ind w:left="1440" w:right="-607.7952755905511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оплата в: рубли и доллары.</w:t>
      </w:r>
    </w:p>
    <w:p w:rsidR="00000000" w:rsidDel="00000000" w:rsidP="00000000" w:rsidRDefault="00000000" w:rsidRPr="00000000" w14:paraId="0000005E">
      <w:pPr>
        <w:shd w:fill="ffffff" w:val="clear"/>
        <w:spacing w:after="0" w:before="340" w:line="458.1818181818182" w:lineRule="auto"/>
        <w:ind w:left="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Выберете метод тестирования системы и составьте список проверок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https://docs.google.com/spreadsheets/d/19FA__W_Bj_dzxr-v-wnTFnLNNdEXsNsN09eBvynj39c/edit?usp=sharing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607.7952755905511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Загрузите доки в github, ссылки на github скидывайте прямо в чат (только проследите, что вы даете доступ к просмотру вашего документа).</w:t>
      </w:r>
    </w:p>
    <w:p w:rsidR="00000000" w:rsidDel="00000000" w:rsidP="00000000" w:rsidRDefault="00000000" w:rsidRPr="00000000" w14:paraId="00000063">
      <w:pPr>
        <w:ind w:left="0" w:right="-607.7952755905511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Дедлайн: 20:00 pm 18 апреля ПН. Пример тест-кейса прикреплю.</w:t>
      </w:r>
    </w:p>
    <w:p w:rsidR="00000000" w:rsidDel="00000000" w:rsidP="00000000" w:rsidRDefault="00000000" w:rsidRPr="00000000" w14:paraId="00000064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9FA__W_Bj_dzxr-v-wnTFnLNNdEXsNsN09eBvynj39c/edit?usp=sharing" TargetMode="External"/><Relationship Id="rId9" Type="http://schemas.openxmlformats.org/officeDocument/2006/relationships/hyperlink" Target="https://r.onliner.by/p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zd.ru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z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