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OpenIoT</w:t>
      </w:r>
    </w:p>
    <w:p>
      <w:pPr>
        <w:pStyle w:val="Normal"/>
        <w:spacing w:lineRule="auto" w:line="360"/>
        <w:rPr>
          <w:rStyle w:val="StrongEmphasis"/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The OpenIoT is an open source middleware platform </w:t>
      </w:r>
      <w:r>
        <w:rPr>
          <w:rStyle w:val="StrongEmphasis"/>
          <w:rFonts w:ascii="Liberation Sans" w:hAnsi="Liberation Sans"/>
          <w:b w:val="false"/>
          <w:bCs w:val="false"/>
        </w:rPr>
        <w:t>for implementing and integrating the Internet-of-Things(IoT) solutions.  OpenIoT allows the user to easily integrate and use any type of sensors to the OpenIoT platform. OpenIoT already supports several devices, but  developers can implement / support any additional devices with only a reasonable effort.</w:t>
      </w:r>
    </w:p>
    <w:p>
      <w:pPr>
        <w:pStyle w:val="Normal"/>
        <w:spacing w:lineRule="auto" w:line="360"/>
        <w:rPr>
          <w:rStyle w:val="StrongEmphasis"/>
          <w:rFonts w:ascii="Liberation Sans" w:hAnsi="Liberation Sans"/>
          <w:b w:val="false"/>
          <w:bCs w:val="false"/>
        </w:rPr>
      </w:pPr>
      <w:r>
        <w:rPr>
          <w:rStyle w:val="StrongEmphasis"/>
          <w:rFonts w:ascii="Liberation Sans" w:hAnsi="Liberation Sans"/>
          <w:b w:val="false"/>
          <w:bCs w:val="false"/>
        </w:rPr>
        <w:t xml:space="preserve">The OpenIoT provides various features such as: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  <w:t>Collecting and processing data from any sensors (both physical and virtual)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ans" w:hAnsi="Liberation Sans"/>
          <w:b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color w:val="00000A"/>
          <w:sz w:val="24"/>
          <w:szCs w:val="24"/>
        </w:rPr>
        <w:t>Semantic Interoperability by annotating sensor data using W3C standards (SSN)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ans" w:hAnsi="Liberation Sans"/>
          <w:b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color w:val="00000A"/>
          <w:sz w:val="24"/>
          <w:szCs w:val="24"/>
        </w:rPr>
        <w:t>Streaming sensor data to cloud services.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ans" w:hAnsi="Liberation Sans"/>
          <w:b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color w:val="00000A"/>
          <w:sz w:val="24"/>
          <w:szCs w:val="24"/>
        </w:rPr>
        <w:t>Dynamic discovery, query and integration of sensor data.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ans" w:hAnsi="Liberation Sans"/>
          <w:b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color w:val="00000A"/>
          <w:sz w:val="24"/>
          <w:szCs w:val="24"/>
        </w:rPr>
        <w:t>Deploying integrated services by comprising multiple sensors data</w:t>
      </w:r>
    </w:p>
    <w:p>
      <w:pPr>
        <w:pStyle w:val="TitleandContentLTGliederung2"/>
        <w:numPr>
          <w:ilvl w:val="0"/>
          <w:numId w:val="1"/>
        </w:numPr>
        <w:spacing w:lineRule="auto" w:line="360"/>
        <w:rPr>
          <w:rFonts w:ascii="Liberation Sans" w:hAnsi="Liberation Sans"/>
          <w:b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color w:val="00000A"/>
          <w:sz w:val="24"/>
          <w:szCs w:val="24"/>
        </w:rPr>
        <w:t>Visualization of IoT data for mashup generation such as charts, graphs and maps and data analytics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 architecture of the OpenIoT is shown in Figure. </w:t>
      </w:r>
    </w:p>
    <w:p>
      <w:pPr>
        <w:pStyle w:val="Normal"/>
        <w:spacing w:lineRule="auto" w:line="360"/>
        <w:jc w:val="center"/>
        <w:rPr>
          <w:rFonts w:ascii="Liberation Sans" w:hAnsi="Liberation Sans"/>
          <w:i/>
          <w:iCs/>
          <w:color w:val="6666FF"/>
        </w:rPr>
      </w:pPr>
      <w:r>
        <w:rPr>
          <w:rFonts w:ascii="Liberation Sans" w:hAnsi="Liberation Sans"/>
          <w:i/>
          <w:iCs/>
          <w:color w:val="6666FF"/>
        </w:rPr>
        <w:t>[Figure No]  OpenIoT  architecture  [Reference No]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477012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The OpenIoT platform consists of three planes, </w:t>
      </w: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>Utility/Application Plane, Virtualized Plane and Physical Plane. The utility/Application plane has 3 components for the user.</w:t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The </w:t>
      </w: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>Request Definition and t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he </w:t>
      </w: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>Request Presentation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components are web interfaces </w:t>
      </w: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 xml:space="preserve">to discover sensors,  mashup  and visualise the data.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The </w:t>
      </w: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>Configuration and Monitoring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component</w:t>
      </w: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enables the user to monitor the health of the different deployed modules. </w:t>
      </w:r>
    </w:p>
    <w:p>
      <w:pPr>
        <w:pStyle w:val="Normal"/>
        <w:spacing w:lineRule="auto" w:line="360"/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</w:pP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 xml:space="preserve">The Virtualized Plane consist of three components, Scheduler, Cloud Data Storage and Service Delivery &amp; Utility Manager. </w:t>
      </w:r>
    </w:p>
    <w:p>
      <w:pPr>
        <w:pStyle w:val="Normal"/>
        <w:spacing w:lineRule="auto" w:line="360"/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</w:pP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 xml:space="preserve">The physical plane is the sensor middleware and is the interface to the physical world. </w:t>
      </w:r>
    </w:p>
    <w:p>
      <w:pPr>
        <w:pStyle w:val="Normal"/>
        <w:spacing w:lineRule="auto" w:line="360"/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</w:pPr>
      <w:r>
        <w:rPr>
          <w:rStyle w:val="StrongEmphasis"/>
          <w:rFonts w:ascii="Liberation Sans" w:hAnsi="Liberation Sans"/>
          <w:b w:val="false"/>
          <w:bCs w:val="false"/>
          <w:sz w:val="24"/>
          <w:szCs w:val="24"/>
        </w:rPr>
        <w:t>[Reference No?]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The OpenIoT platform is used as a component of  the IoE application architecture, particularly </w:t>
      </w:r>
      <w:r>
        <w:rPr>
          <w:rFonts w:ascii="Liberation Sans" w:hAnsi="Liberation Sans"/>
          <w:i/>
          <w:iCs/>
          <w:sz w:val="24"/>
          <w:szCs w:val="24"/>
        </w:rPr>
        <w:t>X-GSN</w:t>
      </w:r>
      <w:r>
        <w:rPr>
          <w:rFonts w:ascii="Liberation Sans" w:hAnsi="Liberation Sans"/>
          <w:sz w:val="24"/>
          <w:szCs w:val="24"/>
        </w:rPr>
        <w:t xml:space="preserve"> for collecting sensor data from any sensors and </w:t>
      </w:r>
      <w:r>
        <w:rPr>
          <w:rFonts w:ascii="Liberation Sans" w:hAnsi="Liberation Sans"/>
          <w:i/>
          <w:iCs/>
          <w:sz w:val="24"/>
          <w:szCs w:val="24"/>
        </w:rPr>
        <w:t>LSM-Light</w:t>
      </w:r>
      <w:r>
        <w:rPr>
          <w:rFonts w:ascii="Liberation Sans" w:hAnsi="Liberation Sans"/>
          <w:sz w:val="24"/>
          <w:szCs w:val="24"/>
        </w:rPr>
        <w:t xml:space="preserve"> for storing RDF triples shown in Figure. </w:t>
      </w:r>
    </w:p>
    <w:p>
      <w:pPr>
        <w:pStyle w:val="Normal"/>
        <w:spacing w:lineRule="auto" w:line="360"/>
        <w:jc w:val="center"/>
        <w:rPr>
          <w:rFonts w:ascii="Liberation Sans" w:hAnsi="Liberation Sans"/>
          <w:i/>
          <w:iCs/>
          <w:color w:val="6666FF"/>
        </w:rPr>
      </w:pPr>
      <w:r>
        <w:rPr>
          <w:rFonts w:ascii="Liberation Sans" w:hAnsi="Liberation Sans"/>
          <w:i/>
          <w:iCs/>
          <w:color w:val="6666FF"/>
        </w:rPr>
        <w:t>[Figure No] Overall system architecture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67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X-GSN</w:t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X-GSN is the sensor middleware extended Global Sensor Network (GSN). X-GSN collects, filters and annotates data stream semantically from virtual and physical sensors devices. [reference No ?].  Sensors need to be registered to the OpenIoT platform. </w:t>
      </w:r>
    </w:p>
    <w:p>
      <w:pPr>
        <w:pStyle w:val="Heading2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Configuring GSN for integration with LSM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LSM schema and URL of LSM-Light server to use have to be specified in </w:t>
      </w:r>
      <w:r>
        <w:rPr>
          <w:rStyle w:val="StrongEmphasis"/>
          <w:rFonts w:ascii="Liberation Sans" w:hAnsi="Liberation Sans"/>
          <w:b w:val="false"/>
          <w:bCs w:val="false"/>
          <w:i/>
          <w:iCs/>
        </w:rPr>
        <w:t xml:space="preserve">lsm_config.properties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</w:rPr>
        <w:t>in order</w:t>
      </w:r>
      <w:r>
        <w:rPr>
          <w:rStyle w:val="StrongEmphasis"/>
          <w:rFonts w:ascii="Liberation Sans" w:hAnsi="Liberation Sans"/>
          <w:b w:val="false"/>
          <w:bCs w:val="false"/>
          <w:i/>
          <w:iCs/>
        </w:rPr>
        <w:t xml:space="preserve">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</w:rPr>
        <w:t>to</w:t>
      </w:r>
      <w:r>
        <w:rPr>
          <w:rFonts w:ascii="Liberation Sans" w:hAnsi="Liberation Sans"/>
        </w:rPr>
        <w:t xml:space="preserve"> connect X-GSN with LSM-Light. 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 metaGraph is used to store OpenIoT sensor metadata and the dataGraph is used to store OpenIoT sensor data. </w:t>
      </w:r>
    </w:p>
    <w:p>
      <w:pPr>
        <w:pStyle w:val="Normal"/>
        <w:spacing w:lineRule="auto" w:line="360"/>
        <w:jc w:val="center"/>
        <w:rPr>
          <w:rStyle w:val="StrongEmphasis"/>
          <w:rFonts w:ascii="Liberation Sans" w:hAnsi="Liberation Sans"/>
          <w:b w:val="false"/>
          <w:bCs w:val="false"/>
          <w:i/>
          <w:iCs/>
          <w:color w:val="6666FF"/>
        </w:rPr>
      </w:pPr>
      <w:r>
        <w:rPr>
          <w:rFonts w:ascii="Liberation Sans" w:hAnsi="Liberation Sans"/>
          <w:i/>
          <w:iCs/>
          <w:color w:val="6666FF"/>
        </w:rPr>
        <w:t xml:space="preserve">[Figure No] </w:t>
      </w:r>
      <w:r>
        <w:rPr>
          <w:rStyle w:val="StrongEmphasis"/>
          <w:rFonts w:ascii="Liberation Sans" w:hAnsi="Liberation Sans"/>
          <w:b w:val="false"/>
          <w:bCs w:val="false"/>
          <w:i/>
          <w:iCs/>
          <w:color w:val="6666FF"/>
        </w:rPr>
        <w:t xml:space="preserve">lsm_config.properties 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1025" cy="113347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spacing w:lineRule="auto" w:line="360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X-GSN Wrappers:</w:t>
      </w:r>
    </w:p>
    <w:p>
      <w:pPr>
        <w:pStyle w:val="Normal"/>
        <w:spacing w:lineRule="auto" w:line="360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</w:rPr>
        <w:t xml:space="preserve">X-GSN supports various wrappers such as a </w:t>
      </w:r>
      <w:r>
        <w:rPr>
          <w:rFonts w:ascii="Liberation Sans" w:hAnsi="Liberation Sans"/>
          <w:color w:val="00000A"/>
          <w:sz w:val="24"/>
          <w:szCs w:val="24"/>
        </w:rPr>
        <w:t>CSV wrapper which loads data from a CSV file</w:t>
      </w:r>
      <w:r>
        <w:rPr>
          <w:rFonts w:ascii="Liberation Sans" w:hAnsi="Liberation Sans"/>
          <w:color w:val="000000"/>
          <w:sz w:val="20"/>
          <w:szCs w:val="24"/>
        </w:rPr>
        <w:t xml:space="preserve">, </w:t>
      </w:r>
      <w:r>
        <w:rPr>
          <w:rFonts w:ascii="Liberation Sans" w:hAnsi="Liberation Sans"/>
          <w:color w:val="000000"/>
          <w:sz w:val="24"/>
          <w:szCs w:val="24"/>
        </w:rPr>
        <w:t>HTTP-GET wrapper which handles HTTP GET requests and so on. Each wrapper is a thread in GSN.  Also custom wrappers can be created</w:t>
      </w:r>
      <w:r>
        <w:rPr>
          <w:rFonts w:ascii="Liberation Sans" w:hAnsi="Liberation Sans"/>
        </w:rPr>
        <w:t>.  The</w:t>
      </w:r>
      <w:r>
        <w:rPr>
          <w:rFonts w:ascii="Liberation Sans" w:hAnsi="Liberation Sans"/>
          <w:color w:val="000000"/>
          <w:sz w:val="24"/>
          <w:szCs w:val="24"/>
        </w:rPr>
        <w:t xml:space="preserve"> wrapper names and classes have to be defined in </w:t>
      </w:r>
      <w:r>
        <w:rPr>
          <w:rFonts w:ascii="Liberation Sans" w:hAnsi="Liberation Sans"/>
          <w:i/>
          <w:iCs/>
          <w:color w:val="000000"/>
          <w:sz w:val="24"/>
          <w:szCs w:val="24"/>
        </w:rPr>
        <w:t>wrappers.properties</w:t>
      </w:r>
      <w:r>
        <w:rPr>
          <w:rFonts w:ascii="Liberation Sans" w:hAnsi="Liberation Sans"/>
          <w:color w:val="000000"/>
          <w:sz w:val="24"/>
          <w:szCs w:val="24"/>
        </w:rPr>
        <w:t xml:space="preserve">. The </w:t>
      </w:r>
      <w:r>
        <w:rPr>
          <w:rFonts w:ascii="Liberation Sans" w:hAnsi="Liberation Sans"/>
          <w:color w:val="FF3333"/>
          <w:sz w:val="24"/>
          <w:szCs w:val="24"/>
        </w:rPr>
        <w:t>HTTP-REST Listener</w:t>
      </w:r>
      <w:r>
        <w:rPr>
          <w:rFonts w:ascii="Liberation Sans" w:hAnsi="Liberation Sans"/>
          <w:color w:val="000000"/>
          <w:sz w:val="24"/>
          <w:szCs w:val="24"/>
        </w:rPr>
        <w:t xml:space="preserve"> wrapper created for IoE application is used to receive raw sensor data from virtual/physical sensors. More details will be described in the later section. 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  <w:b/>
          <w:bCs/>
          <w:color w:val="000000"/>
          <w:sz w:val="24"/>
          <w:szCs w:val="24"/>
        </w:rPr>
      </w:pPr>
      <w:r>
        <w:rPr>
          <w:rFonts w:ascii="Liberation Sans" w:hAnsi="Liberation Sans"/>
          <w:b/>
          <w:bCs/>
          <w:color w:val="000000"/>
          <w:sz w:val="24"/>
          <w:szCs w:val="24"/>
        </w:rPr>
        <w:t>Processing Class:</w:t>
      </w:r>
    </w:p>
    <w:p>
      <w:pPr>
        <w:pStyle w:val="Normal"/>
        <w:spacing w:lineRule="auto" w:line="360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 xml:space="preserve">A processing class in X-GSN handles processing data between the wrapper and the data publishing engine. Various processing classes are supported and also custom processing classes can be created. </w:t>
      </w:r>
    </w:p>
    <w:p>
      <w:pPr>
        <w:pStyle w:val="Normal"/>
        <w:spacing w:lineRule="auto" w:line="360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  <w:t xml:space="preserve">The LSMExporter processing class provided by default by X-GSN is used to push data to the LSM-Light server. 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LSM</w:t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  <w:color w:val="00000A"/>
          <w:sz w:val="24"/>
          <w:szCs w:val="24"/>
        </w:rPr>
      </w:pPr>
      <w:r>
        <w:rPr>
          <w:rFonts w:ascii="Liberation Sans" w:hAnsi="Liberation Sans"/>
          <w:b w:val="false"/>
          <w:bCs w:val="false"/>
          <w:color w:val="00000A"/>
          <w:sz w:val="24"/>
          <w:szCs w:val="24"/>
        </w:rPr>
        <w:t xml:space="preserve">The Linked Stream Middleware Light (LSM-Light) is the cloud data storage. The data streams from X-GSN are transformed into a Linked Data representation, e.g. RDF triples and stores them into Virtuoso Universal Server. </w:t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The LSM-Light provides pull-based and push-based approaches to import/stream data to the LSM-Light. In pull-based approach, the LSM-Light pulls periodically data streams. In push-based approach, sensor data is sent to the LSM-Light.[reference No] </w:t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In IoE application, push-based approach is used. </w:t>
      </w:r>
    </w:p>
    <w:p>
      <w:pPr>
        <w:pStyle w:val="Normal"/>
        <w:spacing w:lineRule="auto" w:line="360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Sensor registration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Each sensor has to be registered to the LSM-Light. In order to register, it is necessary to create a sensor </w:t>
      </w:r>
      <w:r>
        <w:rPr>
          <w:rFonts w:ascii="Liberation Sans" w:hAnsi="Liberation Sans"/>
          <w:b w:val="false"/>
          <w:bCs w:val="false"/>
          <w:i w:val="false"/>
          <w:iCs w:val="false"/>
        </w:rPr>
        <w:t>metadata</w:t>
      </w:r>
      <w:r>
        <w:rPr>
          <w:rFonts w:ascii="Liberation Sans" w:hAnsi="Liberation Sans"/>
        </w:rPr>
        <w:t xml:space="preserve"> file and a sensor configuration XML file.  Both file names have to be the same.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Creating sensor metadata file</w:t>
      </w:r>
    </w:p>
    <w:p>
      <w:pPr>
        <w:pStyle w:val="Normal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The metadata file contains metadata about the sensors. An example of a sensor metadata file is shown in Figure.</w:t>
      </w:r>
    </w:p>
    <w:p>
      <w:pPr>
        <w:pStyle w:val="Normal"/>
        <w:jc w:val="center"/>
        <w:rPr>
          <w:rFonts w:ascii="Liberation Sans" w:hAnsi="Liberation Sans"/>
          <w:b w:val="false"/>
          <w:bCs w:val="false"/>
          <w:i/>
          <w:iCs/>
          <w:color w:val="6666FF"/>
        </w:rPr>
      </w:pPr>
      <w:r>
        <w:rPr>
          <w:rFonts w:ascii="Liberation Sans" w:hAnsi="Liberation Sans"/>
          <w:b w:val="false"/>
          <w:bCs w:val="false"/>
          <w:i/>
          <w:iCs/>
          <w:color w:val="6666FF"/>
        </w:rPr>
        <w:t>[Figure No] sensor metadata file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8314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  <w:i/>
          <w:iCs/>
          <w:color w:val="FF3333"/>
        </w:rPr>
      </w:pPr>
      <w:r>
        <w:rPr>
          <w:rFonts w:ascii="Liberation Sans" w:hAnsi="Liberation Sans"/>
          <w:b w:val="false"/>
          <w:bCs w:val="false"/>
          <w:i/>
          <w:iCs/>
          <w:color w:val="FF3333"/>
        </w:rPr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  <w:i/>
          <w:iCs/>
          <w:color w:val="6666FF"/>
        </w:rPr>
      </w:pPr>
      <w:r>
        <w:rPr>
          <w:rFonts w:ascii="Liberation Sans" w:hAnsi="Liberation Sans"/>
          <w:b w:val="false"/>
          <w:bCs w:val="false"/>
          <w:i/>
          <w:iCs/>
          <w:color w:val="6666FF"/>
        </w:rPr>
        <w:t>[Table No] Description of some fields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8"/>
        <w:gridCol w:w="6975"/>
      </w:tblGrid>
      <w:tr>
        <w:trPr>
          <w:cantSplit w:val="false"/>
        </w:trPr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Field type</w:t>
            </w:r>
          </w:p>
        </w:tc>
        <w:tc>
          <w:tcPr>
            <w:tcW w:w="6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Description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sensorName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name of sensor, it should be an unique name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metaGraph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Style w:val="StrongEmphasis"/>
                <w:rFonts w:ascii="Liberation Sans" w:hAnsi="Liberation Sans"/>
                <w:b w:val="false"/>
                <w:bCs w:val="false"/>
              </w:rPr>
            </w:pPr>
            <w:r>
              <w:rPr>
                <w:rFonts w:ascii="Liberation Sans" w:hAnsi="Liberation Sans"/>
              </w:rPr>
              <w:t xml:space="preserve">Define LSM schema to use specified in </w:t>
            </w:r>
            <w:r>
              <w:rPr>
                <w:rStyle w:val="StrongEmphasis"/>
                <w:rFonts w:ascii="Liberation Sans" w:hAnsi="Liberation Sans"/>
                <w:b w:val="false"/>
                <w:bCs w:val="false"/>
              </w:rPr>
              <w:t>lsm_config.properties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dataGraph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Style w:val="StrongEmphasis"/>
                <w:rFonts w:ascii="Liberation Sans" w:hAnsi="Liberation Sans"/>
                <w:b w:val="false"/>
                <w:bCs w:val="false"/>
              </w:rPr>
            </w:pPr>
            <w:r>
              <w:rPr>
                <w:rFonts w:ascii="Liberation Sans" w:hAnsi="Liberation Sans"/>
              </w:rPr>
              <w:t xml:space="preserve">Define LSM schema to use specified in </w:t>
            </w:r>
            <w:r>
              <w:rPr>
                <w:rStyle w:val="StrongEmphasis"/>
                <w:rFonts w:ascii="Liberation Sans" w:hAnsi="Liberation Sans"/>
                <w:b w:val="false"/>
                <w:bCs w:val="false"/>
              </w:rPr>
              <w:t>lsm_config.properties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fields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observation types, they can be defined in multiple comma separated fields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Style w:val="StrongEmphasis"/>
                <w:rFonts w:ascii="Liberation Sans" w:hAnsi="Liberation Sans"/>
                <w:b w:val="false"/>
                <w:bCs w:val="false"/>
              </w:rPr>
            </w:pPr>
            <w:r>
              <w:rPr>
                <w:rStyle w:val="StrongEmphasis"/>
                <w:rFonts w:ascii="Liberation Sans" w:hAnsi="Liberation Sans"/>
                <w:b w:val="false"/>
                <w:bCs w:val="false"/>
              </w:rPr>
              <w:t>field.FIELD_NAME.</w:t>
            </w:r>
          </w:p>
          <w:p>
            <w:pPr>
              <w:pStyle w:val="TableContents"/>
              <w:spacing w:lineRule="auto" w:line="240"/>
              <w:rPr>
                <w:rStyle w:val="StrongEmphasis"/>
                <w:rFonts w:ascii="Liberation Sans" w:hAnsi="Liberation Sans"/>
                <w:b w:val="false"/>
                <w:bCs w:val="false"/>
              </w:rPr>
            </w:pPr>
            <w:r>
              <w:rPr>
                <w:rStyle w:val="StrongEmphasis"/>
                <w:rFonts w:ascii="Liberation Sans" w:hAnsi="Liberation Sans"/>
                <w:b w:val="false"/>
                <w:bCs w:val="false"/>
              </w:rPr>
              <w:t>propertyName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URI of the FIELD_NAME property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Style w:val="StrongEmphasis"/>
                <w:rFonts w:ascii="Liberation Sans" w:hAnsi="Liberation Sans"/>
                <w:b w:val="false"/>
                <w:bCs w:val="false"/>
              </w:rPr>
            </w:pPr>
            <w:r>
              <w:rPr>
                <w:rStyle w:val="StrongEmphasis"/>
                <w:rFonts w:ascii="Liberation Sans" w:hAnsi="Liberation Sans"/>
                <w:b w:val="false"/>
                <w:bCs w:val="false"/>
              </w:rPr>
              <w:t>field.FIELD_NAME.unit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observation unit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latitude/longitude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a sensor location coordinates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sensorID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spacing w:lineRule="auto" w:line="24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Initially,it should be empty. When registering a sensor, a unique sensorID will be provided by the LSM-Light, then replace it </w:t>
            </w:r>
          </w:p>
        </w:tc>
      </w:tr>
    </w:tbl>
    <w:p>
      <w:pPr>
        <w:pStyle w:val="Normal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pageBreakBefore/>
        <w:spacing w:lineRule="auto" w:line="360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Creating configuration XML</w:t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A wrapper class and a processing class have to be specified in this configuration file. An example of a sensor configuration XML file is shown in Figure. </w:t>
      </w:r>
    </w:p>
    <w:p>
      <w:pPr>
        <w:pStyle w:val="Normal"/>
        <w:spacing w:lineRule="auto" w:line="360"/>
        <w:jc w:val="center"/>
        <w:rPr>
          <w:rFonts w:ascii="Liberation Sans" w:hAnsi="Liberation Sans"/>
          <w:b w:val="false"/>
          <w:bCs w:val="false"/>
          <w:i/>
          <w:iCs/>
          <w:color w:val="6666FF"/>
        </w:rPr>
      </w:pPr>
      <w:r>
        <w:rPr>
          <w:rFonts w:ascii="Liberation Sans" w:hAnsi="Liberation Sans"/>
          <w:b w:val="false"/>
          <w:bCs w:val="false"/>
          <w:i/>
          <w:iCs/>
          <w:color w:val="6666FF"/>
        </w:rPr>
        <w:t>[Figure No] Configuration XML file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61849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pageBreakBefore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Specify processing class</w:t>
      </w:r>
    </w:p>
    <w:p>
      <w:pPr>
        <w:pStyle w:val="Normal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The processing class requires the following parameters to process data to data publishing engine as shown in Figure. </w:t>
      </w:r>
    </w:p>
    <w:p>
      <w:pPr>
        <w:pStyle w:val="Normal"/>
        <w:spacing w:lineRule="auto" w:line="360"/>
        <w:jc w:val="center"/>
        <w:rPr>
          <w:rFonts w:ascii="Liberation Sans" w:hAnsi="Liberation Sans"/>
          <w:b w:val="false"/>
          <w:bCs w:val="false"/>
          <w:i/>
          <w:iCs/>
          <w:color w:val="6666FF"/>
        </w:rPr>
      </w:pPr>
      <w:r>
        <w:rPr>
          <w:rFonts w:ascii="Liberation Sans" w:hAnsi="Liberation Sans"/>
          <w:b w:val="false"/>
          <w:bCs w:val="false"/>
          <w:i/>
          <w:iCs/>
          <w:color w:val="6666FF"/>
        </w:rPr>
        <w:t>[Figure No] Specify processing class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2150" cy="299021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Liberation Sans" w:hAnsi="Liberation Sans"/>
          <w:b w:val="false"/>
          <w:bCs w:val="false"/>
          <w:i/>
          <w:iCs/>
          <w:color w:val="6666FF"/>
        </w:rPr>
      </w:pPr>
      <w:r>
        <w:rPr>
          <w:rFonts w:ascii="Liberation Sans" w:hAnsi="Liberation Sans"/>
          <w:b w:val="false"/>
          <w:bCs w:val="false"/>
          <w:i/>
          <w:iCs/>
          <w:color w:val="6666FF"/>
        </w:rPr>
        <w:t>[Table No] Description of parameters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998"/>
        <w:gridCol w:w="6645"/>
      </w:tblGrid>
      <w:tr>
        <w:trPr>
          <w:cantSplit w:val="false"/>
        </w:trPr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Parameters</w:t>
            </w:r>
          </w:p>
        </w:tc>
        <w:tc>
          <w:tcPr>
            <w:tcW w:w="6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Description</w:t>
            </w:r>
          </w:p>
        </w:tc>
      </w:tr>
      <w:tr>
        <w:trPr>
          <w:cantSplit w:val="false"/>
        </w:trPr>
        <w:tc>
          <w:tcPr>
            <w:tcW w:w="2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&lt;virtual-sensor name&gt;</w:t>
            </w:r>
          </w:p>
        </w:tc>
        <w:tc>
          <w:tcPr>
            <w:tcW w:w="66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Name of the sensor which is defined in the metadata file</w:t>
            </w:r>
          </w:p>
        </w:tc>
      </w:tr>
      <w:tr>
        <w:trPr>
          <w:cantSplit w:val="false"/>
        </w:trPr>
        <w:tc>
          <w:tcPr>
            <w:tcW w:w="2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&lt;class-name&gt;</w:t>
            </w:r>
          </w:p>
        </w:tc>
        <w:tc>
          <w:tcPr>
            <w:tcW w:w="66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a processing class</w:t>
            </w:r>
          </w:p>
        </w:tc>
      </w:tr>
      <w:tr>
        <w:trPr>
          <w:cantSplit w:val="false"/>
        </w:trPr>
        <w:tc>
          <w:tcPr>
            <w:tcW w:w="2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&lt;field name, type&gt;</w:t>
            </w:r>
          </w:p>
        </w:tc>
        <w:tc>
          <w:tcPr>
            <w:tcW w:w="66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field name as field which is defined in the metadata file</w:t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data types. GSN supports TINYINT, SMALLINT, INTEGER, BIGINT, CHAR(#), BINARY[(#)], VARCHAR(#), DOUBLE, TIME</w:t>
            </w:r>
          </w:p>
          <w:p>
            <w:pPr>
              <w:pStyle w:val="TableContents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jc w:val="left"/>
        <w:rPr>
          <w:rFonts w:ascii="Liberation Sans" w:hAnsi="Liberation Sans"/>
          <w:b w:val="false"/>
          <w:bCs w:val="false"/>
          <w:i/>
          <w:iCs/>
          <w:color w:val="FF3333"/>
        </w:rPr>
      </w:pPr>
      <w:r>
        <w:rPr>
          <w:rFonts w:ascii="Liberation Sans" w:hAnsi="Liberation Sans"/>
          <w:b w:val="false"/>
          <w:bCs w:val="false"/>
          <w:i/>
          <w:iCs/>
          <w:color w:val="FF3333"/>
        </w:rPr>
      </w:r>
    </w:p>
    <w:p>
      <w:pPr>
        <w:pStyle w:val="Normal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pageBreakBefore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Specify wrapper class</w:t>
      </w:r>
    </w:p>
    <w:p>
      <w:pPr>
        <w:pStyle w:val="Normal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When X-GSN starts up, the wrapper parameters will be initialised. </w:t>
      </w:r>
    </w:p>
    <w:p>
      <w:pPr>
        <w:pStyle w:val="Normal"/>
        <w:spacing w:lineRule="auto" w:line="360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Each wrapper has different wrapper parameters and the HTTP-REST Listener wrapper uses the following parameters as shown in Figure.</w:t>
      </w:r>
    </w:p>
    <w:p>
      <w:pPr>
        <w:pStyle w:val="Normal"/>
        <w:jc w:val="center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2125" cy="27336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jc w:val="center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jc w:val="center"/>
        <w:rPr>
          <w:rFonts w:ascii="Liberation Sans" w:hAnsi="Liberation Sans"/>
          <w:i/>
          <w:iCs/>
          <w:color w:val="6666FF"/>
        </w:rPr>
      </w:pPr>
      <w:r>
        <w:rPr>
          <w:rFonts w:ascii="Liberation Sans" w:hAnsi="Liberation Sans"/>
          <w:i/>
          <w:iCs/>
          <w:color w:val="6666FF"/>
        </w:rPr>
        <w:t>[Figure No] Specify a wrapper</w:t>
      </w:r>
    </w:p>
    <w:p>
      <w:pPr>
        <w:pStyle w:val="Normal"/>
        <w:spacing w:lineRule="auto" w:line="360"/>
        <w:jc w:val="left"/>
        <w:rPr>
          <w:rFonts w:ascii="Liberation Sans" w:hAnsi="Liberation Sans"/>
          <w:i/>
          <w:iCs/>
          <w:color w:val="6666FF"/>
        </w:rPr>
      </w:pPr>
      <w:r>
        <w:rPr>
          <w:rFonts w:ascii="Liberation Sans" w:hAnsi="Liberation Sans"/>
          <w:i/>
          <w:iCs/>
          <w:color w:val="6666FF"/>
        </w:rPr>
        <w:t>[Table No] Description of parameters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8"/>
        <w:gridCol w:w="6975"/>
      </w:tblGrid>
      <w:tr>
        <w:trPr>
          <w:cantSplit w:val="false"/>
        </w:trPr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Parameters</w:t>
            </w:r>
          </w:p>
        </w:tc>
        <w:tc>
          <w:tcPr>
            <w:tcW w:w="6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Description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&lt;address wrapper&gt;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Name of a wrapper defined in wrappers.properties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&lt;predicate key="sensorID"&gt;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the sensorID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&lt;predicate key="numField"&gt;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the number of fields, required if more than one field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&lt;predicate key="fieldName</w:t>
            </w:r>
            <w:r>
              <w:rPr>
                <w:rFonts w:ascii="Liberation Sans" w:hAnsi="Liberation Sans"/>
                <w:i/>
                <w:iCs/>
              </w:rPr>
              <w:t>N</w:t>
            </w:r>
            <w:r>
              <w:rPr>
                <w:rFonts w:ascii="Liberation Sans" w:hAnsi="Liberation Sans"/>
              </w:rPr>
              <w:t>"&gt;</w:t>
            </w:r>
          </w:p>
        </w:tc>
        <w:tc>
          <w:tcPr>
            <w:tcW w:w="6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Define the field names</w:t>
            </w:r>
          </w:p>
          <w:p>
            <w:pPr>
              <w:pStyle w:val="TableContents"/>
              <w:rPr>
                <w:rFonts w:ascii="Liberation Sans" w:hAnsi="Liberation Sans"/>
                <w:b w:val="false"/>
                <w:bCs w:val="false"/>
                <w:i w:val="false"/>
                <w:iCs w:val="false"/>
              </w:rPr>
            </w:pPr>
            <w:r>
              <w:rPr>
                <w:rFonts w:ascii="Liberation Sans" w:hAnsi="Liberation Sans"/>
              </w:rPr>
              <w:t>If the fields are more than one, define fieldName2, fieldName3 ... fieldName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</w:rPr>
              <w:t xml:space="preserve">N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</w:rPr>
              <w:t>etc.</w:t>
            </w:r>
          </w:p>
        </w:tc>
      </w:tr>
    </w:tbl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Style w:val="StrongEmphasis"/>
          <w:rFonts w:ascii="Liberation Sans" w:hAnsi="Liberation Sans"/>
          <w:b w:val="false"/>
          <w:bCs w:val="false"/>
          <w:i w:val="false"/>
          <w:iCs w:val="false"/>
        </w:rPr>
      </w:pPr>
      <w:r>
        <w:rPr>
          <w:rFonts w:ascii="Liberation Sans" w:hAnsi="Liberation Sans"/>
        </w:rPr>
        <w:t xml:space="preserve">The script, </w:t>
      </w:r>
      <w:r>
        <w:rPr>
          <w:rStyle w:val="StrongEmphasis"/>
          <w:rFonts w:ascii="Liberation Sans" w:hAnsi="Liberation Sans"/>
          <w:i/>
          <w:iCs/>
        </w:rPr>
        <w:t xml:space="preserve">lsm-register.sh/lsm-register.bat, </w:t>
      </w:r>
      <w:r>
        <w:rPr>
          <w:rFonts w:ascii="Liberation Sans" w:hAnsi="Liberation Sans"/>
        </w:rPr>
        <w:t xml:space="preserve">is provided to register sensors to LSM. </w:t>
      </w:r>
      <w:r>
        <w:rPr>
          <w:rStyle w:val="StrongEmphasis"/>
          <w:rFonts w:ascii="Liberation Sans" w:hAnsi="Liberation Sans"/>
          <w:b w:val="false"/>
          <w:bCs w:val="false"/>
          <w:i w:val="false"/>
          <w:iCs w:val="false"/>
        </w:rPr>
        <w:t xml:space="preserve">This script takes an argument of the metadata file. Also sensors can be registered to LSM through an RDF file or a REST service. </w:t>
      </w:r>
    </w:p>
    <w:p>
      <w:pPr>
        <w:pStyle w:val="Normal"/>
        <w:pageBreakBefore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HTTP-REST </w:t>
      </w:r>
      <w:bookmarkStart w:id="0" w:name="__DdeLink__334_5457098901"/>
      <w:r>
        <w:rPr>
          <w:rFonts w:ascii="Liberation Sans" w:hAnsi="Liberation Sans"/>
          <w:b/>
          <w:bCs/>
        </w:rPr>
        <w:t>Listener</w:t>
      </w:r>
      <w:bookmarkEnd w:id="0"/>
      <w:r>
        <w:rPr>
          <w:rFonts w:ascii="Liberation Sans" w:hAnsi="Liberation Sans"/>
          <w:b/>
          <w:bCs/>
        </w:rPr>
        <w:t xml:space="preserve"> Wrapper:</w:t>
      </w:r>
    </w:p>
    <w:p>
      <w:pPr>
        <w:pStyle w:val="Normal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5889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ans" w:hAnsi="Liberation Sans"/>
          <w:i/>
          <w:iCs/>
          <w:color w:val="6666FF"/>
        </w:rPr>
      </w:pPr>
      <w:r>
        <w:rPr>
          <w:rFonts w:ascii="Liberation Sans" w:hAnsi="Liberation Sans"/>
          <w:i/>
          <w:iCs/>
          <w:color w:val="6666FF"/>
        </w:rPr>
        <w:t>[Figure No] HTTP-REST Listener Wrapper</w:t>
      </w:r>
    </w:p>
    <w:p>
      <w:pPr>
        <w:pStyle w:val="Normal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 HTTP-REST </w:t>
      </w:r>
      <w:bookmarkStart w:id="1" w:name="__DdeLink__334_545709890"/>
      <w:r>
        <w:rPr>
          <w:rFonts w:ascii="Liberation Sans" w:hAnsi="Liberation Sans"/>
        </w:rPr>
        <w:t>Listener</w:t>
      </w:r>
      <w:bookmarkEnd w:id="1"/>
      <w:r>
        <w:rPr>
          <w:rFonts w:ascii="Liberation Sans" w:hAnsi="Liberation Sans"/>
        </w:rPr>
        <w:t xml:space="preserve"> wrapper handles receiving raw sensor data from virtual/physical sensor devices and generating stream elements and sending the streamed data to registered stream processors. The architecture of the HTTP-REST </w:t>
      </w:r>
      <w:bookmarkStart w:id="2" w:name="__DdeLink__334_5457098902"/>
      <w:r>
        <w:rPr>
          <w:rFonts w:ascii="Liberation Sans" w:hAnsi="Liberation Sans"/>
        </w:rPr>
        <w:t>Listener</w:t>
      </w:r>
      <w:bookmarkEnd w:id="2"/>
      <w:r>
        <w:rPr>
          <w:rFonts w:ascii="Liberation Sans" w:hAnsi="Liberation Sans"/>
        </w:rPr>
        <w:t xml:space="preserve"> wrapper is shown in Figure.  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  <w:color w:val="00000A"/>
        </w:rPr>
        <w:t xml:space="preserve">The REST service is </w:t>
      </w:r>
      <w:r>
        <w:rPr>
          <w:rStyle w:val="Emphasis"/>
          <w:rFonts w:ascii="Liberation Sans" w:hAnsi="Liberation Sans"/>
          <w:b w:val="false"/>
          <w:bCs w:val="false"/>
          <w:i w:val="false"/>
          <w:iCs w:val="false"/>
        </w:rPr>
        <w:t>initialised</w:t>
      </w:r>
      <w:r>
        <w:rPr>
          <w:rFonts w:ascii="Liberation Sans" w:hAnsi="Liberation Sans"/>
          <w:color w:val="00000A"/>
        </w:rPr>
        <w:t xml:space="preserve"> once and a HTTP server connector is added and starts running when X-GSN launches. </w:t>
      </w:r>
      <w:r>
        <w:rPr>
          <w:rFonts w:ascii="Liberation Sans" w:hAnsi="Liberation Sans"/>
        </w:rPr>
        <w:t xml:space="preserve">One port is opened and listening to clients. The HTTP-REST Wrapper handles GET and POST requests. 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Each sensor has its sensor ID which is registered to LSM-Light sever and sends sensor raw data with the sensorID. </w:t>
      </w:r>
    </w:p>
    <w:p>
      <w:pPr>
        <w:pStyle w:val="Normal"/>
        <w:spacing w:lineRule="auto" w:line="360"/>
        <w:rPr>
          <w:rFonts w:ascii="Liberation Sans" w:hAnsi="Liberation Sans"/>
          <w:i w:val="false"/>
          <w:iCs w:val="false"/>
        </w:rPr>
      </w:pPr>
      <w:r>
        <w:rPr>
          <w:rFonts w:ascii="Liberation Sans" w:hAnsi="Liberation Sans"/>
        </w:rPr>
        <w:t xml:space="preserve">When X-GSN starts up, the wrapper parameters which are defined in the sensor configuration XML are loaded and initialised. The wrapper parameter </w:t>
      </w:r>
      <w:r>
        <w:rPr>
          <w:rFonts w:ascii="Liberation Sans" w:hAnsi="Liberation Sans"/>
          <w:i w:val="false"/>
          <w:iCs w:val="false"/>
        </w:rPr>
        <w:t>field names, data field types will be stored in maps with the sensorID as the key.</w:t>
      </w:r>
    </w:p>
    <w:p>
      <w:pPr>
        <w:pStyle w:val="Normal"/>
        <w:spacing w:lineRule="auto" w:line="360"/>
        <w:rPr>
          <w:rFonts w:ascii="Liberation Sans" w:hAnsi="Liberation Sans"/>
          <w:color w:val="00000A"/>
        </w:rPr>
      </w:pPr>
      <w:r>
        <w:rPr>
          <w:rFonts w:ascii="Liberation Sans" w:hAnsi="Liberation Sans"/>
          <w:color w:val="00000A"/>
        </w:rPr>
        <w:t xml:space="preserve">When the HTTP server receives sensor data, the stream elements are created and sent by  the wrapper mapped with the sensorID. </w:t>
      </w:r>
    </w:p>
    <w:p>
      <w:pPr>
        <w:pStyle w:val="Normal"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ageBreakBefore/>
        <w:spacing w:lineRule="auto" w:line="360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175" cy="378714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/>
    <w:rPr/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Emphasis">
    <w:name w:val="Emphasis"/>
    <w:rPr>
      <w:i/>
      <w:iCs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Default">
    <w:name w:val="Default"/>
    <w:pPr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pPr>
      <w:widowControl/>
      <w:suppressAutoHyphens w:val="true"/>
      <w:overflowPunct w:val="true"/>
      <w:bidi w:val="0"/>
      <w:spacing w:before="0" w:after="283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6B94"/>
      <w:spacing w:val="0"/>
      <w:sz w:val="44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before="0" w:after="22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6B94"/>
      <w:spacing w:val="0"/>
      <w:sz w:val="44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7F8A9A"/>
      <w:spacing w:val="0"/>
      <w:sz w:val="38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4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overflowPunct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overflowPunct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overflowPunct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overflowPunct w:val="true"/>
      <w:bidi w:val="0"/>
      <w:spacing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overflowPunct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overflowPunct w:val="true"/>
      <w:bidi w:val="0"/>
      <w:spacing w:before="0" w:after="283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6B94"/>
      <w:spacing w:val="0"/>
      <w:sz w:val="4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6B94"/>
      <w:spacing w:val="0"/>
      <w:sz w:val="44"/>
      <w:u w:val="none"/>
      <w:em w:val="none"/>
    </w:rPr>
  </w:style>
  <w:style w:type="paragraph" w:styleId="Outline3">
    <w:name w:val="Outline 3"/>
    <w:basedOn w:val="Outline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7F8A9A"/>
      <w:spacing w:val="0"/>
      <w:sz w:val="38"/>
      <w:u w:val="none"/>
      <w:em w:val="none"/>
    </w:rPr>
  </w:style>
  <w:style w:type="paragraph" w:styleId="Outline4">
    <w:name w:val="Outline 4"/>
    <w:basedOn w:val="Outline3"/>
    <w:pPr>
      <w:spacing w:before="0" w:after="113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4"/>
      <w:u w:val="none"/>
      <w:em w:val="none"/>
    </w:rPr>
  </w:style>
  <w:style w:type="paragraph" w:styleId="Outline5">
    <w:name w:val="Outline 5"/>
    <w:basedOn w:val="Outline4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andContentLTGliederung1">
    <w:name w:val="Title and Content~LT~Gliederung 1"/>
    <w:pPr>
      <w:widowControl/>
      <w:suppressAutoHyphens w:val="true"/>
      <w:overflowPunct w:val="true"/>
      <w:bidi w:val="0"/>
      <w:spacing w:before="0" w:after="283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6B94"/>
      <w:spacing w:val="0"/>
      <w:sz w:val="44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pPr>
      <w:spacing w:before="0" w:after="22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6B94"/>
      <w:spacing w:val="0"/>
      <w:sz w:val="44"/>
      <w:u w:val="none"/>
      <w:em w:val="none"/>
    </w:rPr>
  </w:style>
  <w:style w:type="paragraph" w:styleId="TitleandContentLTGliederung3">
    <w:name w:val="Title and Content~LT~Gliederung 3"/>
    <w:basedOn w:val="TitleandContent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7F8A9A"/>
      <w:spacing w:val="0"/>
      <w:sz w:val="38"/>
      <w:u w:val="none"/>
      <w:em w:val="none"/>
    </w:rPr>
  </w:style>
  <w:style w:type="paragraph" w:styleId="TitleandContentLTGliederung4">
    <w:name w:val="Title and Content~LT~Gliederung 4"/>
    <w:basedOn w:val="TitleandContentLTGliederung3"/>
    <w:pPr>
      <w:spacing w:before="0" w:after="113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4"/>
      <w:u w:val="none"/>
      <w:em w:val="none"/>
    </w:rPr>
  </w:style>
  <w:style w:type="paragraph" w:styleId="TitleandContentLTGliederung5">
    <w:name w:val="Title and Content~LT~Gliederung 5"/>
    <w:basedOn w:val="TitleandContentLTGliederung4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pPr>
      <w:spacing w:before="0" w:after="57"/>
      <w:jc w:val="left"/>
    </w:pPr>
    <w:rPr>
      <w:rFonts w:ascii="FreeSans" w:hAnsi="FreeSans"/>
      <w:b/>
      <w:i w:val="false"/>
      <w:strike w:val="false"/>
      <w:dstrike w:val="false"/>
      <w:outline w:val="false"/>
      <w:shadow w:val="false"/>
      <w:color w:val="0095BF"/>
      <w:spacing w:val="0"/>
      <w:sz w:val="40"/>
      <w:u w:val="none"/>
      <w:em w:val="none"/>
    </w:rPr>
  </w:style>
  <w:style w:type="paragraph" w:styleId="TitleandContentLTTitel">
    <w:name w:val="Title and Content~LT~Titel"/>
    <w:pPr>
      <w:widowControl/>
      <w:suppressAutoHyphens w:val="true"/>
      <w:overflowPunct w:val="true"/>
      <w:bidi w:val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pPr>
      <w:widowControl/>
      <w:suppressAutoHyphens w:val="true"/>
      <w:overflowPunct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pPr>
      <w:widowControl/>
      <w:suppressAutoHyphens w:val="true"/>
      <w:overflowPunct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pPr>
      <w:widowControl/>
      <w:suppressAutoHyphens w:val="true"/>
      <w:overflowPunct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80378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2014-10-07T16:09:28Z</dcterms:created>
  <dc:language>en-IE</dc:language>
  <cp:lastPrinted>2014-10-17T10:34:21Z</cp:lastPrinted>
  <dcterms:modified xsi:type="dcterms:W3CDTF">2014-10-19T11:30:05Z</dcterms:modified>
  <cp:revision>137</cp:revision>
</cp:coreProperties>
</file>