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png" ContentType="image/jpeg"/>
  <Override PartName="/word/media/image4.png" ContentType="image/jpeg"/>
  <Override PartName="/word/media/image5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918895"/>
            <wp:docPr id="1" name="Picture 1" descr="Logotipo de la Auditoría Superior del Estado de Sinaloa" title="Logotipo de la Auditoría Superior del Estado de Sinalo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918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Manual de administración</w:t>
      </w:r>
    </w:p>
    <w:p>
      <w:pPr>
        <w:pStyle w:val="Subtitle"/>
        <w:jc w:val="center"/>
      </w:pPr>
      <w:r>
        <w:rPr>
          <w:b/>
          <w:color w:val="5B3112"/>
        </w:rPr>
        <w:t>FileXfer.AdminDashboard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EEDC"/>
            <w:tcBorders>
              <w:top w:val="single" w:sz="10" w:color="B98A36"/>
              <w:left w:val="single" w:sz="10" w:color="B98A36"/>
              <w:bottom w:val="single" w:sz="10" w:color="B98A36"/>
              <w:right w:val="single" w:sz="10" w:color="B98A36"/>
              <w:insideH w:val="single" w:sz="10" w:color="B98A36"/>
              <w:insideV w:val="single" w:sz="10" w:color="B98A36"/>
            </w:tcBorders>
          </w:tcPr>
          <w:p>
            <w:pPr>
              <w:jc w:val="center"/>
            </w:pPr>
            <w:r>
              <w:rPr>
                <w:b/>
                <w:color w:val="5B3112"/>
                <w:sz w:val="26"/>
              </w:rPr>
              <w:t>Guía gráfica, detallada y operable paso a paso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Audiencia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Administradores y personal de operación</w:t>
            </w:r>
          </w:p>
        </w:tc>
      </w:tr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Versión documental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1.0</w:t>
            </w:r>
          </w:p>
        </w:tc>
      </w:tr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22 de octubre de 2026</w:t>
            </w:r>
          </w:p>
        </w:tc>
      </w:tr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Uso institucional</w:t>
            </w:r>
          </w:p>
        </w:tc>
      </w:tr>
    </w:tbl>
    <w:p>
      <w:pPr>
        <w:jc w:val="center"/>
      </w:pPr>
      <w:r>
        <w:rPr>
          <w:i/>
          <w:color w:val="B83245"/>
          <w:sz w:val="20"/>
        </w:rPr>
        <w:t>Regla de oro: no avance si la pantalla no confirma el paso anterior.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t>Este índice sigue el orden operativo del manual. Los títulos también forman la navegación del documento.</w:t>
      </w:r>
    </w:p>
    <w:p>
      <w:pPr>
        <w:ind w:left="360" w:hanging="360"/>
      </w:pPr>
      <w:r>
        <w:rPr>
          <w:b/>
        </w:rPr>
        <w:t xml:space="preserve">1. </w:t>
      </w:r>
      <w:r>
        <w:rPr>
          <w:b/>
        </w:rPr>
        <w:t>Propósito y responsabilidades</w:t>
      </w:r>
    </w:p>
    <w:p>
      <w:pPr>
        <w:pStyle w:val="ListBullet2"/>
      </w:pPr>
      <w:r>
        <w:t>Perfiles</w:t>
      </w:r>
    </w:p>
    <w:p>
      <w:pPr>
        <w:ind w:left="360" w:hanging="360"/>
      </w:pPr>
      <w:r>
        <w:rPr>
          <w:b/>
        </w:rPr>
        <w:t xml:space="preserve">2. </w:t>
      </w:r>
      <w:r>
        <w:rPr>
          <w:b/>
        </w:rPr>
        <w:t>Acceso con e.firma</w:t>
      </w:r>
    </w:p>
    <w:p>
      <w:pPr>
        <w:pStyle w:val="ListBullet2"/>
      </w:pPr>
      <w:r>
        <w:t>Resultado esperado</w:t>
      </w:r>
    </w:p>
    <w:p>
      <w:pPr>
        <w:pStyle w:val="ListBullet2"/>
      </w:pPr>
      <w:r>
        <w:t>No use estas direcciones en el navegador</w:t>
      </w:r>
    </w:p>
    <w:p>
      <w:pPr>
        <w:ind w:left="360" w:hanging="360"/>
      </w:pPr>
      <w:r>
        <w:rPr>
          <w:b/>
        </w:rPr>
        <w:t xml:space="preserve">3. </w:t>
      </w:r>
      <w:r>
        <w:rPr>
          <w:b/>
        </w:rPr>
        <w:t>Recorrido visual del Dashboard</w:t>
      </w:r>
    </w:p>
    <w:p>
      <w:pPr>
        <w:ind w:left="360" w:hanging="360"/>
      </w:pPr>
      <w:r>
        <w:rPr>
          <w:b/>
        </w:rPr>
        <w:t xml:space="preserve">4. </w:t>
      </w:r>
      <w:r>
        <w:rPr>
          <w:b/>
        </w:rPr>
        <w:t>Diez formas de leer la misma operación</w:t>
      </w:r>
    </w:p>
    <w:p>
      <w:pPr>
        <w:ind w:left="360" w:hanging="360"/>
      </w:pPr>
      <w:r>
        <w:rPr>
          <w:b/>
        </w:rPr>
        <w:t xml:space="preserve">5. </w:t>
      </w:r>
      <w:r>
        <w:rPr>
          <w:b/>
        </w:rPr>
        <w:t>Interpretar los KPI</w:t>
      </w:r>
    </w:p>
    <w:p>
      <w:pPr>
        <w:pStyle w:val="ListBullet2"/>
      </w:pPr>
      <w:r>
        <w:t>Cómo usar la ayuda detallada</w:t>
      </w:r>
    </w:p>
    <w:p>
      <w:pPr>
        <w:ind w:left="360" w:hanging="360"/>
      </w:pPr>
      <w:r>
        <w:rPr>
          <w:b/>
        </w:rPr>
        <w:t xml:space="preserve">6. </w:t>
      </w:r>
      <w:r>
        <w:rPr>
          <w:b/>
        </w:rPr>
        <w:t>Ruta de archivos y dependencias</w:t>
      </w:r>
    </w:p>
    <w:p>
      <w:pPr>
        <w:pStyle w:val="ListBullet2"/>
      </w:pPr>
      <w:r>
        <w:t>Estados del flujo</w:t>
      </w:r>
    </w:p>
    <w:p>
      <w:pPr>
        <w:pStyle w:val="ListBullet2"/>
      </w:pPr>
      <w:r>
        <w:t>Dependencias críticas</w:t>
      </w:r>
    </w:p>
    <w:p>
      <w:pPr>
        <w:ind w:left="360" w:hanging="360"/>
      </w:pPr>
      <w:r>
        <w:rPr>
          <w:b/>
        </w:rPr>
        <w:t xml:space="preserve">7. </w:t>
      </w:r>
      <w:r>
        <w:rPr>
          <w:b/>
        </w:rPr>
        <w:t>Huella de actividad y trazabilidad</w:t>
      </w:r>
    </w:p>
    <w:p>
      <w:pPr>
        <w:pStyle w:val="ListBullet2"/>
      </w:pPr>
      <w:r>
        <w:t>Qué debe revisar al investigar una transferencia</w:t>
      </w:r>
    </w:p>
    <w:p>
      <w:pPr>
        <w:pStyle w:val="ListBullet2"/>
      </w:pPr>
      <w:r>
        <w:t>Diferencia entre completado y falla de catálogo</w:t>
      </w:r>
    </w:p>
    <w:p>
      <w:pPr>
        <w:ind w:left="360" w:hanging="360"/>
      </w:pPr>
      <w:r>
        <w:rPr>
          <w:b/>
        </w:rPr>
        <w:t xml:space="preserve">8. </w:t>
      </w:r>
      <w:r>
        <w:rPr>
          <w:b/>
        </w:rPr>
        <w:t>Administrar políticas de archivos</w:t>
      </w:r>
    </w:p>
    <w:p>
      <w:pPr>
        <w:pStyle w:val="ListBullet2"/>
      </w:pPr>
      <w:r>
        <w:t>Paginación</w:t>
      </w:r>
    </w:p>
    <w:p>
      <w:pPr>
        <w:pStyle w:val="ListBullet2"/>
      </w:pPr>
      <w:r>
        <w:t>Crear una política</w:t>
      </w:r>
    </w:p>
    <w:p>
      <w:pPr>
        <w:pStyle w:val="ListBullet2"/>
      </w:pPr>
      <w:r>
        <w:t>Editar una política</w:t>
      </w:r>
    </w:p>
    <w:p>
      <w:pPr>
        <w:pStyle w:val="ListBullet2"/>
      </w:pPr>
      <w:r>
        <w:t>Rollback</w:t>
      </w:r>
    </w:p>
    <w:p>
      <w:pPr>
        <w:ind w:left="360" w:hanging="360"/>
      </w:pPr>
      <w:r>
        <w:rPr>
          <w:b/>
        </w:rPr>
        <w:t xml:space="preserve">9. </w:t>
      </w:r>
      <w:r>
        <w:rPr>
          <w:b/>
        </w:rPr>
        <w:t>Decidir si omitir verificación profunda</w:t>
      </w:r>
    </w:p>
    <w:p>
      <w:pPr>
        <w:ind w:left="360" w:hanging="360"/>
      </w:pPr>
      <w:r>
        <w:rPr>
          <w:b/>
        </w:rPr>
        <w:t xml:space="preserve">10. </w:t>
      </w:r>
      <w:r>
        <w:rPr>
          <w:b/>
        </w:rPr>
        <w:t>Respuesta operativa por escenario</w:t>
      </w:r>
    </w:p>
    <w:p>
      <w:pPr>
        <w:ind w:left="360" w:hanging="360"/>
      </w:pPr>
      <w:r>
        <w:rPr>
          <w:b/>
        </w:rPr>
        <w:t xml:space="preserve">11. </w:t>
      </w:r>
      <w:r>
        <w:rPr>
          <w:b/>
        </w:rPr>
        <w:t>Cierre de sesión y seguridad</w:t>
      </w:r>
    </w:p>
    <w:p>
      <w:pPr>
        <w:ind w:left="360" w:hanging="360"/>
      </w:pPr>
      <w:r>
        <w:rPr>
          <w:b/>
        </w:rPr>
        <w:t xml:space="preserve">12. </w:t>
      </w:r>
      <w:r>
        <w:rPr>
          <w:b/>
        </w:rPr>
        <w:t>Lista de verificación diaria</w:t>
      </w:r>
    </w:p>
    <w:p>
      <w:r>
        <w:br w:type="page"/>
      </w:r>
    </w:p>
    <w:p>
      <w:pPr>
        <w:pStyle w:val="Heading1"/>
        <w:keepNext/>
      </w:pPr>
      <w:r>
        <w:t>Propósito y responsabilidades</w:t>
      </w:r>
    </w:p>
    <w:p>
      <w:r>
        <w:t>El Dashboard de Transfer ASE permite observar la operación, interpretar KPI, distinguir estados, rastrear transferencias y administrar las extensiones aceptadas. No reemplaza la investigación técnica: organiza señales confiables para decidir dónde investigar primero.</w:t>
      </w:r>
    </w:p>
    <w:p>
      <w:pPr>
        <w:pStyle w:val="Heading2"/>
        <w:keepNext/>
      </w:pPr>
      <w:r>
        <w:t>Perfiles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Puede consultar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Puede modificar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ops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Dashboard, métricas, dependencias, transferencias y políticas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No cambia políticas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admin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Todo lo anterior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Crea versiones de políticas y ejecuta rollback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DEDEF"/>
            <w:tcBorders>
              <w:top w:val="single" w:sz="12" w:color="B83245"/>
              <w:left w:val="single" w:sz="12" w:color="B83245"/>
              <w:bottom w:val="single" w:sz="12" w:color="B83245"/>
              <w:right w:val="single" w:sz="12" w:color="B83245"/>
              <w:insideH w:val="single" w:sz="12" w:color="B83245"/>
              <w:insideV w:val="single" w:sz="12" w:color="B83245"/>
            </w:tcBorders>
          </w:tcPr>
          <w:p>
            <w:pPr>
              <w:spacing w:after="0"/>
            </w:pPr>
            <w:r>
              <w:rPr>
                <w:b/>
              </w:rPr>
              <w:t>IMPORTANTE:</w:t>
            </w:r>
            <w:r>
              <w:t xml:space="preserve"> el acceso al Dashboard ocurre con e.firma antes de mostrar información. No se usa token manual ni código MFA. La sesión administrativa exige el rol asignado al RFC.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Acceso con e.firma</w:t>
      </w:r>
    </w:p>
    <w:p>
      <w:pPr>
        <w:ind w:left="461" w:hanging="403"/>
      </w:pPr>
      <w:r>
        <w:rPr>
          <w:b/>
        </w:rPr>
        <w:t xml:space="preserve">1. </w:t>
      </w:r>
      <w:r>
        <w:t xml:space="preserve">Abra la dirección HTTPS del servidor y agregue </w:t>
      </w:r>
      <w:r>
        <w:rPr>
          <w:rFonts w:ascii="Consolas" w:hAnsi="Consolas"/>
          <w:color w:val="5B3112"/>
          <w:sz w:val="19"/>
        </w:rPr>
        <w:t>/admin/</w:t>
      </w:r>
      <w:r>
        <w:t>.</w:t>
      </w:r>
    </w:p>
    <w:p>
      <w:pPr>
        <w:ind w:left="461" w:hanging="403"/>
      </w:pPr>
      <w:r>
        <w:rPr>
          <w:b/>
        </w:rPr>
        <w:t xml:space="preserve">2. </w:t>
      </w:r>
      <w:r>
        <w:t>Escriba el RFC autorizado.</w:t>
      </w:r>
    </w:p>
    <w:p>
      <w:pPr>
        <w:ind w:left="461" w:hanging="403"/>
      </w:pPr>
      <w:r>
        <w:rPr>
          <w:b/>
        </w:rPr>
        <w:t xml:space="preserve">3. </w:t>
      </w:r>
      <w:r>
        <w:t xml:space="preserve">Seleccione el archivo </w:t>
      </w:r>
      <w:r>
        <w:rPr>
          <w:rFonts w:ascii="Consolas" w:hAnsi="Consolas"/>
          <w:color w:val="5B3112"/>
          <w:sz w:val="19"/>
        </w:rPr>
        <w:t>.cer</w:t>
      </w:r>
      <w:r>
        <w:t>.</w:t>
      </w:r>
    </w:p>
    <w:p>
      <w:pPr>
        <w:ind w:left="461" w:hanging="403"/>
      </w:pPr>
      <w:r>
        <w:rPr>
          <w:b/>
        </w:rPr>
        <w:t xml:space="preserve">4. </w:t>
      </w:r>
      <w:r>
        <w:t xml:space="preserve">Seleccione la llave </w:t>
      </w:r>
      <w:r>
        <w:rPr>
          <w:rFonts w:ascii="Consolas" w:hAnsi="Consolas"/>
          <w:color w:val="5B3112"/>
          <w:sz w:val="19"/>
        </w:rPr>
        <w:t>.key</w:t>
      </w:r>
      <w:r>
        <w:t xml:space="preserve"> correspondiente.</w:t>
      </w:r>
    </w:p>
    <w:p>
      <w:pPr>
        <w:ind w:left="461" w:hanging="403"/>
      </w:pPr>
      <w:r>
        <w:rPr>
          <w:b/>
        </w:rPr>
        <w:t xml:space="preserve">5. </w:t>
      </w:r>
      <w:r>
        <w:t>Escriba la contraseña de la llave privada.</w:t>
      </w:r>
    </w:p>
    <w:p>
      <w:pPr>
        <w:ind w:left="461" w:hanging="403"/>
      </w:pPr>
      <w:r>
        <w:rPr>
          <w:b/>
        </w:rPr>
        <w:t xml:space="preserve">6. </w:t>
      </w:r>
      <w:r>
        <w:t xml:space="preserve">Presione </w:t>
      </w:r>
      <w:r>
        <w:rPr>
          <w:b/>
        </w:rPr>
        <w:t>Acceder</w:t>
      </w:r>
      <w:r>
        <w:t xml:space="preserve"> y espere la validación.</w:t>
      </w:r>
    </w:p>
    <w:p>
      <w:pPr>
        <w:pStyle w:val="Heading2"/>
        <w:keepNext/>
      </w:pPr>
      <w:r>
        <w:t>Resultado esperado</w:t>
      </w:r>
    </w:p>
    <w:p>
      <w:r>
        <w:t xml:space="preserve">La barra lateral muestra </w:t>
      </w:r>
      <w:r>
        <w:rPr>
          <w:b/>
        </w:rPr>
        <w:t>Sesión e.firma</w:t>
      </w:r>
      <w:r>
        <w:t>, el RFC y el rol. El contenido operativo solo aparece después de autenticarse.</w:t>
      </w:r>
    </w:p>
    <w:p>
      <w:pPr>
        <w:pStyle w:val="Heading2"/>
        <w:keepNext/>
      </w:pPr>
      <w:r>
        <w:t>No use estas direcciones en el navegador</w:t>
      </w:r>
    </w:p>
    <w:p>
      <w:pPr>
        <w:pStyle w:val="ListBullet"/>
      </w:pPr>
      <w:r>
        <w:rPr>
          <w:rFonts w:ascii="Consolas" w:hAnsi="Consolas"/>
          <w:color w:val="5B3112"/>
          <w:sz w:val="19"/>
        </w:rPr>
        <w:t>https://0.0.0.0:PUERTO</w:t>
      </w:r>
      <w:r>
        <w:t>: es una dirección de escucha, no una dirección navegable.</w:t>
      </w:r>
    </w:p>
    <w:p>
      <w:pPr>
        <w:pStyle w:val="ListBullet"/>
      </w:pPr>
      <w:r>
        <w:t>HTTP cuando el entorno exige HTTPS.</w:t>
      </w:r>
    </w:p>
    <w:p>
      <w:pPr>
        <w:pStyle w:val="ListBullet"/>
      </w:pPr>
      <w:r>
        <w:t>La IP pública si el certificado TLS fue emitido únicamente para un nombre DNS distinto.</w:t>
      </w:r>
    </w:p>
    <w:p>
      <w:r>
        <w:t xml:space="preserve">Use </w:t>
      </w:r>
      <w:r>
        <w:rPr>
          <w:rFonts w:ascii="Consolas" w:hAnsi="Consolas"/>
          <w:color w:val="5B3112"/>
          <w:sz w:val="19"/>
        </w:rPr>
        <w:t>https://localhost:51136/admin/</w:t>
      </w:r>
      <w:r>
        <w:t xml:space="preserve"> en el mismo servidor o el DNS/IP expresamente publicado y cubierto por el certificado.</w:t>
      </w:r>
    </w:p>
    <w:p>
      <w:r>
        <w:br w:type="page"/>
      </w:r>
    </w:p>
    <w:p>
      <w:pPr>
        <w:pStyle w:val="Heading1"/>
        <w:keepNext/>
      </w:pPr>
      <w:r>
        <w:t>Recorrido visual del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4982647"/>
            <wp:docPr id="2" name="Picture 2" descr="Dashboard general con zonas numeradas" title="Dashboard general con zonas numerad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general-anot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982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180"/>
          <w:sz w:val="17"/>
        </w:rPr>
        <w:t>Figura 1. Dashboard autenticado. Los valores son datos de desarrollo y cambian automáticamente.</w:t>
      </w:r>
    </w:p>
    <w:p>
      <w:pPr>
        <w:ind w:left="461" w:hanging="403"/>
      </w:pPr>
      <w:r>
        <w:rPr>
          <w:b/>
        </w:rPr>
        <w:t xml:space="preserve">1. </w:t>
      </w:r>
      <w:r>
        <w:rPr>
          <w:b/>
        </w:rPr>
        <w:t>Navegación</w:t>
      </w:r>
      <w:r>
        <w:t>: Dashboard y Políticas de archivos.</w:t>
      </w:r>
    </w:p>
    <w:p>
      <w:pPr>
        <w:ind w:left="461" w:hanging="403"/>
      </w:pPr>
      <w:r>
        <w:rPr>
          <w:b/>
        </w:rPr>
        <w:t xml:space="preserve">2. </w:t>
      </w:r>
      <w:r>
        <w:rPr>
          <w:b/>
        </w:rPr>
        <w:t>Selector de vistas</w:t>
      </w:r>
      <w:r>
        <w:t>: diez representaciones de la misma información.</w:t>
      </w:r>
    </w:p>
    <w:p>
      <w:pPr>
        <w:ind w:left="461" w:hanging="403"/>
      </w:pPr>
      <w:r>
        <w:rPr>
          <w:b/>
        </w:rPr>
        <w:t xml:space="preserve">3. </w:t>
      </w:r>
      <w:r>
        <w:rPr>
          <w:b/>
        </w:rPr>
        <w:t>KPI de mando</w:t>
      </w:r>
      <w:r>
        <w:t>: resumen cuantitativo con ventana y contexto.</w:t>
      </w:r>
    </w:p>
    <w:p>
      <w:pPr>
        <w:ind w:left="461" w:hanging="403"/>
      </w:pPr>
      <w:r>
        <w:rPr>
          <w:b/>
        </w:rPr>
        <w:t xml:space="preserve">4. </w:t>
      </w:r>
      <w:r>
        <w:rPr>
          <w:b/>
        </w:rPr>
        <w:t>Ayuda contextual</w:t>
      </w:r>
      <w:r>
        <w:t>: pase el cursor o use Tab para conocer interpretación y límites.</w:t>
      </w:r>
    </w:p>
    <w:p>
      <w:r>
        <w:br w:type="page"/>
      </w:r>
    </w:p>
    <w:p>
      <w:pPr>
        <w:pStyle w:val="Heading1"/>
        <w:keepNext/>
      </w:pPr>
      <w:r>
        <w:t>Diez formas de leer la misma operación</w:t>
      </w:r>
    </w:p>
    <w:p>
      <w:r>
        <w:t>Cambiar de vista no modifica datos ni políticas. Solo cambia la representación.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Vista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Pregunta que responde mejor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Úsela para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Pulso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¿Cómo está el sistema en conjunto?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Guardia operativa y revisión rápida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Barras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¿Qué magnitudes son mayores o menores?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Comparar resultados y recursos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Ejecutiva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¿Qué debe conocer una dirección en segundos?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Reporte breve y priorización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Anillos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¿Qué proporción representa cada estado?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Cobertura y cumplimiento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Térmico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¿Dónde se concentra la intensidad?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Detectar presión o saturación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Flujo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¿En qué etapa se acumula el trabajo?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Encontrar cuellos de botella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Mosaico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¿Qué prioridades requieren atención?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Clasificación visual simultánea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Cronología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¿Qué ocurrió y en qué orden?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Investigación de eventos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Radar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¿Qué tan equilibrados están los indicadores?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Comparar dimensiones de salud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Semáforo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¿Qué requiere actuar, vigilar o continuar?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Toma de decisión inmediata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Interpretar los KPI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4982647"/>
            <wp:docPr id="3" name="Picture 3" descr="Ayuda contextual opaca sobre un KPI" title="Ayuda contextual opaca sobre un KP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kpi-ayuda-context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982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180"/>
          <w:sz w:val="17"/>
        </w:rPr>
        <w:t>Figura 2. La ayuda contextual tiene fondo opaco para mantener la legibilidad.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Significado operativo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Señal de atención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Salud operativa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Índice compuesto de disponibilidad, fallas, vencidos y cola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Desciende aunque el proceso siga vivo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Éxito del día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Completadas respecto de cierres del día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Cae por fallas, rechazos, cancelaciones o expiraciones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En transmisión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Sesiones enviando bytes y esperando turno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Crece sin avance o se mantiene después de terminar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Fallas del día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Cierres no exitosos, incluida falla de catálogo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Cualquier crecimiento sostenido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Pendientes críticos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Pendientes de más de 30 minutos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Número alto o reanudables envejecidos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Cobertura de recibos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Completadas con recibo digital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Menor a 100 % requiere investigación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Verificación aplicada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Archivos obligados que sí se verificaron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Omisiones no explicadas por política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Duración P95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Tiempo bajo el cual termina 95 % de cargas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Aumento abrupto frente a la mediana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Volumen confirmado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Bytes completados del día y P95 por archivo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Crecimiento sin capacidad equivalente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Throughput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Promedio efectivo de bytes confirmados en una hora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Cero con transmisiones activas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Continuidad recuperada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Bytes reutilizados por reanudación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Cero después de cortes conocidos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Actividad institucional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RFC distintos con actividad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Cambios no esperados en el patrón</w:t>
            </w:r>
          </w:p>
        </w:tc>
      </w:tr>
    </w:tbl>
    <w:p>
      <w:pPr>
        <w:pStyle w:val="Heading2"/>
        <w:keepNext/>
      </w:pPr>
      <w:r>
        <w:t>Cómo usar la ayuda detallada</w:t>
      </w:r>
    </w:p>
    <w:p>
      <w:pPr>
        <w:pStyle w:val="ListBullet"/>
      </w:pPr>
      <w:r>
        <w:t xml:space="preserve">Pase el cursor sobre una tarjeta o enfoque con </w:t>
      </w:r>
      <w:r>
        <w:rPr>
          <w:b/>
        </w:rPr>
        <w:t>Tab</w:t>
      </w:r>
      <w:r>
        <w:t>.</w:t>
      </w:r>
    </w:p>
    <w:p>
      <w:pPr>
        <w:pStyle w:val="ListBullet"/>
      </w:pPr>
      <w:r>
        <w:t xml:space="preserve">Lea </w:t>
      </w:r>
      <w:r>
        <w:rPr>
          <w:b/>
        </w:rPr>
        <w:t>Qué significa</w:t>
      </w:r>
      <w:r>
        <w:t>, la ventana temporal y la acción sugerida.</w:t>
      </w:r>
    </w:p>
    <w:p>
      <w:pPr>
        <w:pStyle w:val="ListBullet"/>
      </w:pPr>
      <w:r>
        <w:t xml:space="preserve">En </w:t>
      </w:r>
      <w:r>
        <w:rPr>
          <w:b/>
        </w:rPr>
        <w:t>Estado compuesto</w:t>
      </w:r>
      <w:r>
        <w:t xml:space="preserve">, </w:t>
      </w:r>
      <w:r>
        <w:rPr>
          <w:b/>
        </w:rPr>
        <w:t>Ruta de archivos</w:t>
      </w:r>
      <w:r>
        <w:t xml:space="preserve">, </w:t>
      </w:r>
      <w:r>
        <w:rPr>
          <w:b/>
        </w:rPr>
        <w:t>Dependencias críticas</w:t>
      </w:r>
      <w:r>
        <w:t xml:space="preserve"> y cada recurso también existe ayuda contextual.</w:t>
      </w:r>
    </w:p>
    <w:p>
      <w:pPr>
        <w:pStyle w:val="ListBullet"/>
      </w:pPr>
      <w:r>
        <w:t>Un color no sustituye el texto: confirme siempre el nombre del estado.</w:t>
      </w:r>
    </w:p>
    <w:p>
      <w:r>
        <w:br w:type="page"/>
      </w:r>
    </w:p>
    <w:p>
      <w:pPr>
        <w:pStyle w:val="Heading1"/>
        <w:keepNext/>
      </w:pPr>
      <w:r>
        <w:t>Ruta de archivos y dependencias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4982647"/>
            <wp:docPr id="4" name="Picture 4" descr="Ruta de archivos y dependencias críticas" title="Ruta de archivos y dependencias crític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uta-y-dependenci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982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180"/>
          <w:sz w:val="17"/>
        </w:rPr>
        <w:t>Figura 3. El flujo separa espera, transmisión, reanudación y cierre; las dependencias explican capacidad real de operación.</w:t>
      </w:r>
    </w:p>
    <w:p>
      <w:pPr>
        <w:pStyle w:val="Heading2"/>
        <w:keepNext/>
      </w:pPr>
      <w:r>
        <w:t>Estados del flujo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Color orientativo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Interpretación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En espera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Gris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Admitido y listo para iniciar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Transmitiendo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Azul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Envía bytes en este momento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Reanudable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Ámbar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Tiene parcial protegido y puede continuar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Completado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Verde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Bytes, hash, catálogo y recibo confirmados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Falla de catálogo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Naranja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Archivo persistido pero registro de negocio no cerró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Fallido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Rojo/rosa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Operación no completada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Cancelado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Gris oscuro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Cancelación explícita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Desconocido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Magenta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Estado no clasificado; requiere revisión</w:t>
            </w:r>
          </w:p>
        </w:tc>
      </w:tr>
    </w:tbl>
    <w:p>
      <w:pPr>
        <w:pStyle w:val="Heading2"/>
        <w:keepNext/>
      </w:pPr>
      <w:r>
        <w:t>Dependencias críticas</w:t>
      </w:r>
    </w:p>
    <w:p>
      <w:pPr>
        <w:pStyle w:val="ListBullet"/>
      </w:pPr>
      <w:r>
        <w:rPr>
          <w:b/>
        </w:rPr>
        <w:t>Base de datos</w:t>
      </w:r>
      <w:r>
        <w:t>: FileXferDb disponible y esquema vigente.</w:t>
      </w:r>
    </w:p>
    <w:p>
      <w:pPr>
        <w:pStyle w:val="ListBullet"/>
      </w:pPr>
      <w:r>
        <w:rPr>
          <w:b/>
        </w:rPr>
        <w:t>Almacenamiento</w:t>
      </w:r>
      <w:r>
        <w:t>: ruta accesible, espacio y permisos de la cuenta de servicio.</w:t>
      </w:r>
    </w:p>
    <w:p>
      <w:pPr>
        <w:pStyle w:val="ListBullet"/>
      </w:pPr>
      <w:r>
        <w:rPr>
          <w:b/>
        </w:rPr>
        <w:t>Bus interno</w:t>
      </w:r>
      <w:r>
        <w:t>: cola interna de trabajo en operación.</w:t>
      </w:r>
    </w:p>
    <w:p>
      <w:pPr>
        <w:pStyle w:val="ListBullet"/>
      </w:pPr>
      <w:r>
        <w:rPr>
          <w:b/>
        </w:rPr>
        <w:t>Alertamiento</w:t>
      </w:r>
      <w:r>
        <w:t>: outbox y entrega externa; “modo local” significa que no hay canal externo activo.</w:t>
      </w:r>
    </w:p>
    <w:p>
      <w:pPr>
        <w:pStyle w:val="ListBullet"/>
      </w:pPr>
      <w:r>
        <w:rPr>
          <w:b/>
        </w:rPr>
        <w:t>CPU, memoria y disco</w:t>
      </w:r>
      <w:r>
        <w:t>: presión del servidor; evalúe tendencia, no solo una lectura aislada.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DEDEF"/>
            <w:tcBorders>
              <w:top w:val="single" w:sz="12" w:color="B83245"/>
              <w:left w:val="single" w:sz="12" w:color="B83245"/>
              <w:bottom w:val="single" w:sz="12" w:color="B83245"/>
              <w:right w:val="single" w:sz="12" w:color="B83245"/>
              <w:insideH w:val="single" w:sz="12" w:color="B83245"/>
              <w:insideV w:val="single" w:sz="12" w:color="B83245"/>
            </w:tcBorders>
          </w:tcPr>
          <w:p>
            <w:pPr>
              <w:spacing w:after="0"/>
            </w:pPr>
            <w:r>
              <w:rPr>
                <w:b/>
              </w:rPr>
              <w:t>IMPORTANTE:</w:t>
            </w:r>
            <w:r>
              <w:t xml:space="preserve"> </w:t>
            </w:r>
            <w:r>
              <w:rPr>
                <w:rFonts w:ascii="Consolas" w:hAnsi="Consolas"/>
                <w:color w:val="5B3112"/>
                <w:sz w:val="19"/>
              </w:rPr>
              <w:t>/healthz</w:t>
            </w:r>
            <w:r>
              <w:t xml:space="preserve"> prueba que el proceso vive; </w:t>
            </w:r>
            <w:r>
              <w:rPr>
                <w:rFonts w:ascii="Consolas" w:hAnsi="Consolas"/>
                <w:color w:val="5B3112"/>
                <w:sz w:val="19"/>
              </w:rPr>
              <w:t>/readyz</w:t>
            </w:r>
            <w:r>
              <w:t xml:space="preserve"> prueba que puede prestar el servicio con sus dependencias. Un proceso vivo con SQL caído no está listo.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Huella de actividad y trazabilidad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4982647"/>
            <wp:docPr id="5" name="Picture 5" descr="Leyenda de estados y transferencias recientes" title="Leyenda de estados y transferencias recien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uella-esta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982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180"/>
          <w:sz w:val="17"/>
        </w:rPr>
        <w:t>Figura 4. Cada bloque usa el color del estado y muestra detalle al pasar el cursor.</w:t>
      </w:r>
    </w:p>
    <w:p>
      <w:pPr>
        <w:pStyle w:val="Heading2"/>
        <w:keepNext/>
      </w:pPr>
      <w:r>
        <w:t>Qué debe revisar al investigar una transferencia</w:t>
      </w:r>
    </w:p>
    <w:p>
      <w:pPr>
        <w:ind w:left="461" w:hanging="403"/>
      </w:pPr>
      <w:r>
        <w:rPr>
          <w:b/>
        </w:rPr>
        <w:t xml:space="preserve">1. </w:t>
      </w:r>
      <w:r>
        <w:t>Nombre del archivo y RFC.</w:t>
      </w:r>
    </w:p>
    <w:p>
      <w:pPr>
        <w:ind w:left="461" w:hanging="403"/>
      </w:pPr>
      <w:r>
        <w:rPr>
          <w:b/>
        </w:rPr>
        <w:t xml:space="preserve">2. </w:t>
      </w:r>
      <w:r>
        <w:t>Estado traducido, no el valor interno en inglés.</w:t>
      </w:r>
    </w:p>
    <w:p>
      <w:pPr>
        <w:ind w:left="461" w:hanging="403"/>
      </w:pPr>
      <w:r>
        <w:rPr>
          <w:b/>
        </w:rPr>
        <w:t xml:space="preserve">3. </w:t>
      </w:r>
      <w:r>
        <w:t>Tamaño y hora de creación/cierre.</w:t>
      </w:r>
    </w:p>
    <w:p>
      <w:pPr>
        <w:ind w:left="461" w:hanging="403"/>
      </w:pPr>
      <w:r>
        <w:rPr>
          <w:b/>
        </w:rPr>
        <w:t xml:space="preserve">4. </w:t>
      </w:r>
      <w:r>
        <w:t>Extensión y versión de política aplicada.</w:t>
      </w:r>
    </w:p>
    <w:p>
      <w:pPr>
        <w:ind w:left="461" w:hanging="403"/>
      </w:pPr>
      <w:r>
        <w:rPr>
          <w:b/>
        </w:rPr>
        <w:t xml:space="preserve">5. </w:t>
      </w:r>
      <w:r>
        <w:t>Verificación ejecutada u omitida.</w:t>
      </w:r>
    </w:p>
    <w:p>
      <w:pPr>
        <w:ind w:left="461" w:hanging="403"/>
      </w:pPr>
      <w:r>
        <w:rPr>
          <w:b/>
        </w:rPr>
        <w:t xml:space="preserve">6. </w:t>
      </w:r>
      <w:r>
        <w:rPr>
          <w:rFonts w:ascii="Consolas" w:hAnsi="Consolas"/>
          <w:color w:val="5B3112"/>
          <w:sz w:val="19"/>
        </w:rPr>
        <w:t>TraceId</w:t>
      </w:r>
      <w:r>
        <w:t xml:space="preserve"> para correlacionar logs.</w:t>
      </w:r>
    </w:p>
    <w:p>
      <w:pPr>
        <w:ind w:left="461" w:hanging="403"/>
      </w:pPr>
      <w:r>
        <w:rPr>
          <w:b/>
        </w:rPr>
        <w:t xml:space="preserve">7. </w:t>
      </w:r>
      <w:r>
        <w:rPr>
          <w:rFonts w:ascii="Consolas" w:hAnsi="Consolas"/>
          <w:color w:val="5B3112"/>
          <w:sz w:val="19"/>
        </w:rPr>
        <w:t>ReceiptId</w:t>
      </w:r>
      <w:r>
        <w:t xml:space="preserve"> para confirmar evidencia digital.</w:t>
      </w:r>
    </w:p>
    <w:p>
      <w:pPr>
        <w:ind w:left="461" w:hanging="403"/>
      </w:pPr>
      <w:r>
        <w:rPr>
          <w:b/>
        </w:rPr>
        <w:t xml:space="preserve">8. </w:t>
      </w:r>
      <w:r>
        <w:t>Detalle de error en un bloque fallido.</w:t>
      </w:r>
    </w:p>
    <w:p>
      <w:pPr>
        <w:pStyle w:val="Heading2"/>
        <w:keepNext/>
      </w:pPr>
      <w:r>
        <w:t>Diferencia entre completado y falla de catálogo</w:t>
      </w:r>
    </w:p>
    <w:p>
      <w:r>
        <w:rPr>
          <w:b/>
        </w:rPr>
        <w:t>Completado</w:t>
      </w:r>
      <w:r>
        <w:t xml:space="preserve"> implica cierre técnico y de negocio. </w:t>
      </w:r>
      <w:r>
        <w:rPr>
          <w:b/>
        </w:rPr>
        <w:t>Falla de catálogo</w:t>
      </w:r>
      <w:r>
        <w:t xml:space="preserve"> significa que el archivo pudo llegar al almacenamiento, pero la relación con BuDi no se confirmó. No reenvíe a ciegas: use la recuperación idempotente para evitar duplicados.</w:t>
      </w:r>
    </w:p>
    <w:p>
      <w:r>
        <w:br w:type="page"/>
      </w:r>
    </w:p>
    <w:p>
      <w:pPr>
        <w:pStyle w:val="Heading1"/>
        <w:keepNext/>
      </w:pPr>
      <w:r>
        <w:t>Administrar políticas de archivos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4982647"/>
            <wp:docPr id="6" name="Picture 6" descr="Grid de políticas con controles numerados" title="Grid de políticas con controles numera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oliticas-archivos-anot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982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180"/>
          <w:sz w:val="17"/>
        </w:rPr>
        <w:t>Figura 5. La búsqueda, orden y paginación no modifican políticas; solo cambian la vista.</w:t>
      </w:r>
    </w:p>
    <w:p>
      <w:pPr>
        <w:ind w:left="461" w:hanging="403"/>
      </w:pPr>
      <w:r>
        <w:rPr>
          <w:b/>
        </w:rPr>
        <w:t xml:space="preserve">1. </w:t>
      </w:r>
      <w:r>
        <w:rPr>
          <w:b/>
        </w:rPr>
        <w:t>Nueva extensión</w:t>
      </w:r>
      <w:r>
        <w:t>: abre el formulario para crear la primera versión.</w:t>
      </w:r>
    </w:p>
    <w:p>
      <w:pPr>
        <w:ind w:left="461" w:hanging="403"/>
      </w:pPr>
      <w:r>
        <w:rPr>
          <w:b/>
        </w:rPr>
        <w:t xml:space="preserve">2. </w:t>
      </w:r>
      <w:r>
        <w:rPr>
          <w:b/>
        </w:rPr>
        <w:t>Buscar por extensión</w:t>
      </w:r>
      <w:r>
        <w:t xml:space="preserve">: acepta texto como </w:t>
      </w:r>
      <w:r>
        <w:rPr>
          <w:rFonts w:ascii="Consolas" w:hAnsi="Consolas"/>
          <w:color w:val="5B3112"/>
          <w:sz w:val="19"/>
        </w:rPr>
        <w:t>.pdf</w:t>
      </w:r>
      <w:r>
        <w:t xml:space="preserve">, </w:t>
      </w:r>
      <w:r>
        <w:rPr>
          <w:rFonts w:ascii="Consolas" w:hAnsi="Consolas"/>
          <w:color w:val="5B3112"/>
          <w:sz w:val="19"/>
        </w:rPr>
        <w:t>pdf</w:t>
      </w:r>
      <w:r>
        <w:t xml:space="preserve"> o una fracción.</w:t>
      </w:r>
    </w:p>
    <w:p>
      <w:pPr>
        <w:ind w:left="461" w:hanging="403"/>
      </w:pPr>
      <w:r>
        <w:rPr>
          <w:b/>
        </w:rPr>
        <w:t xml:space="preserve">3. </w:t>
      </w:r>
      <w:r>
        <w:rPr>
          <w:b/>
        </w:rPr>
        <w:t>Ordenar</w:t>
      </w:r>
      <w:r>
        <w:t>: haga clic en cualquier encabezado ordenable; el indicador muestra dirección.</w:t>
      </w:r>
    </w:p>
    <w:p>
      <w:pPr>
        <w:ind w:left="461" w:hanging="403"/>
      </w:pPr>
      <w:r>
        <w:rPr>
          <w:b/>
        </w:rPr>
        <w:t xml:space="preserve">4. </w:t>
      </w:r>
      <w:r>
        <w:rPr>
          <w:b/>
        </w:rPr>
        <w:t>Límite por archivo</w:t>
      </w:r>
      <w:r>
        <w:t>: “Sin límite” significa que la política no impone un máximo explícito.</w:t>
      </w:r>
    </w:p>
    <w:p>
      <w:pPr>
        <w:pStyle w:val="Heading2"/>
        <w:keepNext/>
      </w:pPr>
      <w:r>
        <w:t>Paginación</w:t>
      </w:r>
    </w:p>
    <w:p>
      <w:pPr>
        <w:pStyle w:val="ListBullet"/>
      </w:pPr>
      <w:r>
        <w:t>Seleccione 10, 25, 50 o 100 registros por página.</w:t>
      </w:r>
    </w:p>
    <w:p>
      <w:pPr>
        <w:pStyle w:val="ListBullet"/>
      </w:pPr>
      <w:r>
        <w:t xml:space="preserve">Use </w:t>
      </w:r>
      <w:r>
        <w:rPr>
          <w:b/>
        </w:rPr>
        <w:t>Anterior</w:t>
      </w:r>
      <w:r>
        <w:t xml:space="preserve">, número de página o </w:t>
      </w:r>
      <w:r>
        <w:rPr>
          <w:b/>
        </w:rPr>
        <w:t>Siguiente</w:t>
      </w:r>
      <w:r>
        <w:t>.</w:t>
      </w:r>
    </w:p>
    <w:p>
      <w:pPr>
        <w:pStyle w:val="ListBullet"/>
      </w:pPr>
      <w:r>
        <w:t>La pantalla muestra rango visible, coincidencias y total configurado.</w:t>
      </w:r>
    </w:p>
    <w:p>
      <w:pPr>
        <w:pStyle w:val="ListBullet"/>
      </w:pPr>
      <w:r>
        <w:t>Cambiar búsqueda, orden o tamaño devuelve a una página válida.</w:t>
      </w:r>
    </w:p>
    <w:p>
      <w:pPr>
        <w:pStyle w:val="Heading2"/>
        <w:keepNext/>
      </w:pPr>
      <w:r>
        <w:t>Crear una política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4982647"/>
            <wp:docPr id="7" name="Picture 7" descr="Formulario de nueva política" title="Formulario de nueva polític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ormulario-politic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982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180"/>
          <w:sz w:val="17"/>
        </w:rPr>
        <w:t>Figura 6. Cada alta crea una versión auditable y exige un motivo.</w:t>
      </w:r>
    </w:p>
    <w:p>
      <w:pPr>
        <w:ind w:left="461" w:hanging="403"/>
      </w:pPr>
      <w:r>
        <w:rPr>
          <w:b/>
        </w:rPr>
        <w:t xml:space="preserve">1. </w:t>
      </w:r>
      <w:r>
        <w:t xml:space="preserve">Presione </w:t>
      </w:r>
      <w:r>
        <w:rPr>
          <w:b/>
        </w:rPr>
        <w:t>Nueva extensión</w:t>
      </w:r>
      <w:r>
        <w:t>.</w:t>
      </w:r>
    </w:p>
    <w:p>
      <w:pPr>
        <w:ind w:left="461" w:hanging="403"/>
      </w:pPr>
      <w:r>
        <w:rPr>
          <w:b/>
        </w:rPr>
        <w:t xml:space="preserve">2. </w:t>
      </w:r>
      <w:r>
        <w:t xml:space="preserve">Escriba la extensión con punto, por ejemplo </w:t>
      </w:r>
      <w:r>
        <w:rPr>
          <w:rFonts w:ascii="Consolas" w:hAnsi="Consolas"/>
          <w:color w:val="5B3112"/>
          <w:sz w:val="19"/>
        </w:rPr>
        <w:t>.pdf</w:t>
      </w:r>
      <w:r>
        <w:t>.</w:t>
      </w:r>
    </w:p>
    <w:p>
      <w:pPr>
        <w:ind w:left="461" w:hanging="403"/>
      </w:pPr>
      <w:r>
        <w:rPr>
          <w:b/>
        </w:rPr>
        <w:t xml:space="preserve">3. </w:t>
      </w:r>
      <w:r>
        <w:t xml:space="preserve">Active </w:t>
      </w:r>
      <w:r>
        <w:rPr>
          <w:b/>
        </w:rPr>
        <w:t>Aceptar esta extensión</w:t>
      </w:r>
      <w:r>
        <w:t xml:space="preserve"> solo si debe permitirse.</w:t>
      </w:r>
    </w:p>
    <w:p>
      <w:pPr>
        <w:ind w:left="461" w:hanging="403"/>
      </w:pPr>
      <w:r>
        <w:rPr>
          <w:b/>
        </w:rPr>
        <w:t xml:space="preserve">4. </w:t>
      </w:r>
      <w:r>
        <w:t xml:space="preserve">Mantenga </w:t>
      </w:r>
      <w:r>
        <w:rPr>
          <w:b/>
        </w:rPr>
        <w:t>Ejecutar verificación profunda</w:t>
      </w:r>
      <w:r>
        <w:t xml:space="preserve"> salvo excepción formal.</w:t>
      </w:r>
    </w:p>
    <w:p>
      <w:pPr>
        <w:ind w:left="461" w:hanging="403"/>
      </w:pPr>
      <w:r>
        <w:rPr>
          <w:b/>
        </w:rPr>
        <w:t xml:space="preserve">5. </w:t>
      </w:r>
      <w:r>
        <w:t xml:space="preserve">Deje vacío el tamaño máximo para </w:t>
      </w:r>
      <w:r>
        <w:rPr>
          <w:b/>
        </w:rPr>
        <w:t>sin límite</w:t>
      </w:r>
      <w:r>
        <w:t xml:space="preserve"> o escriba MB cuando exista restricción.</w:t>
      </w:r>
    </w:p>
    <w:p>
      <w:pPr>
        <w:ind w:left="461" w:hanging="403"/>
      </w:pPr>
      <w:r>
        <w:rPr>
          <w:b/>
        </w:rPr>
        <w:t xml:space="preserve">6. </w:t>
      </w:r>
      <w:r>
        <w:t>Describa el motivo con suficiente detalle para una auditoría.</w:t>
      </w:r>
    </w:p>
    <w:p>
      <w:pPr>
        <w:ind w:left="461" w:hanging="403"/>
      </w:pPr>
      <w:r>
        <w:rPr>
          <w:b/>
        </w:rPr>
        <w:t xml:space="preserve">7. </w:t>
      </w:r>
      <w:r>
        <w:t xml:space="preserve">Presione </w:t>
      </w:r>
      <w:r>
        <w:rPr>
          <w:b/>
        </w:rPr>
        <w:t>Guardar nueva versión</w:t>
      </w:r>
      <w:r>
        <w:t>.</w:t>
      </w:r>
    </w:p>
    <w:p>
      <w:pPr>
        <w:ind w:left="461" w:hanging="403"/>
      </w:pPr>
      <w:r>
        <w:rPr>
          <w:b/>
        </w:rPr>
        <w:t xml:space="preserve">8. </w:t>
      </w:r>
      <w:r>
        <w:t>Confirme el mensaje y busque la extensión en el grid.</w:t>
      </w:r>
    </w:p>
    <w:p>
      <w:pPr>
        <w:pStyle w:val="Heading2"/>
        <w:keepNext/>
      </w:pPr>
      <w:r>
        <w:t>Editar una política</w:t>
      </w:r>
    </w:p>
    <w:p>
      <w:pPr>
        <w:ind w:left="461" w:hanging="403"/>
      </w:pPr>
      <w:r>
        <w:rPr>
          <w:b/>
        </w:rPr>
        <w:t xml:space="preserve">1. </w:t>
      </w:r>
      <w:r>
        <w:t>Busque la extensión.</w:t>
      </w:r>
    </w:p>
    <w:p>
      <w:pPr>
        <w:ind w:left="461" w:hanging="403"/>
      </w:pPr>
      <w:r>
        <w:rPr>
          <w:b/>
        </w:rPr>
        <w:t xml:space="preserve">2. </w:t>
      </w:r>
      <w:r>
        <w:t xml:space="preserve">Presione </w:t>
      </w:r>
      <w:r>
        <w:rPr>
          <w:b/>
        </w:rPr>
        <w:t>Editar</w:t>
      </w:r>
      <w:r>
        <w:t>.</w:t>
      </w:r>
    </w:p>
    <w:p>
      <w:pPr>
        <w:ind w:left="461" w:hanging="403"/>
      </w:pPr>
      <w:r>
        <w:rPr>
          <w:b/>
        </w:rPr>
        <w:t xml:space="preserve">3. </w:t>
      </w:r>
      <w:r>
        <w:t>Revise la versión actual y su historial.</w:t>
      </w:r>
    </w:p>
    <w:p>
      <w:pPr>
        <w:ind w:left="461" w:hanging="403"/>
      </w:pPr>
      <w:r>
        <w:rPr>
          <w:b/>
        </w:rPr>
        <w:t xml:space="preserve">4. </w:t>
      </w:r>
      <w:r>
        <w:t>Cambie solo los campos autorizados.</w:t>
      </w:r>
    </w:p>
    <w:p>
      <w:pPr>
        <w:ind w:left="461" w:hanging="403"/>
      </w:pPr>
      <w:r>
        <w:rPr>
          <w:b/>
        </w:rPr>
        <w:t xml:space="preserve">5. </w:t>
      </w:r>
      <w:r>
        <w:t>Escriba el motivo.</w:t>
      </w:r>
    </w:p>
    <w:p>
      <w:pPr>
        <w:ind w:left="461" w:hanging="403"/>
      </w:pPr>
      <w:r>
        <w:rPr>
          <w:b/>
        </w:rPr>
        <w:t xml:space="preserve">6. </w:t>
      </w:r>
      <w:r>
        <w:t>Guarde; nunca se sobrescribe silenciosamente una versión concurrente.</w:t>
      </w:r>
    </w:p>
    <w:p>
      <w:r>
        <w:t>Si otro administrador modificó la misma política, el servidor responde con conflicto. Recargue y vuelva a evaluar; no intente forzar el valor anterior.</w:t>
      </w:r>
    </w:p>
    <w:p>
      <w:pPr>
        <w:pStyle w:val="Heading2"/>
        <w:keepNext/>
      </w:pPr>
      <w:r>
        <w:t>Rollback</w:t>
      </w:r>
    </w:p>
    <w:p>
      <w:pPr>
        <w:ind w:left="461" w:hanging="403"/>
      </w:pPr>
      <w:r>
        <w:rPr>
          <w:b/>
        </w:rPr>
        <w:t xml:space="preserve">1. </w:t>
      </w:r>
      <w:r>
        <w:t xml:space="preserve">Abra </w:t>
      </w:r>
      <w:r>
        <w:rPr>
          <w:b/>
        </w:rPr>
        <w:t>Editar</w:t>
      </w:r>
      <w:r>
        <w:t xml:space="preserve"> en la extensión.</w:t>
      </w:r>
    </w:p>
    <w:p>
      <w:pPr>
        <w:ind w:left="461" w:hanging="403"/>
      </w:pPr>
      <w:r>
        <w:rPr>
          <w:b/>
        </w:rPr>
        <w:t xml:space="preserve">2. </w:t>
      </w:r>
      <w:r>
        <w:t xml:space="preserve">Revise </w:t>
      </w:r>
      <w:r>
        <w:rPr>
          <w:b/>
        </w:rPr>
        <w:t>Historial y rollback</w:t>
      </w:r>
      <w:r>
        <w:t>.</w:t>
      </w:r>
    </w:p>
    <w:p>
      <w:pPr>
        <w:ind w:left="461" w:hanging="403"/>
      </w:pPr>
      <w:r>
        <w:rPr>
          <w:b/>
        </w:rPr>
        <w:t xml:space="preserve">3. </w:t>
      </w:r>
      <w:r>
        <w:t>Identifique una versión anterior conocida.</w:t>
      </w:r>
    </w:p>
    <w:p>
      <w:pPr>
        <w:ind w:left="461" w:hanging="403"/>
      </w:pPr>
      <w:r>
        <w:rPr>
          <w:b/>
        </w:rPr>
        <w:t xml:space="preserve">4. </w:t>
      </w:r>
      <w:r>
        <w:t xml:space="preserve">Presione </w:t>
      </w:r>
      <w:r>
        <w:rPr>
          <w:b/>
        </w:rPr>
        <w:t>Restaurar esta configuración</w:t>
      </w:r>
      <w:r>
        <w:t>.</w:t>
      </w:r>
    </w:p>
    <w:p>
      <w:pPr>
        <w:ind w:left="461" w:hanging="403"/>
      </w:pPr>
      <w:r>
        <w:rPr>
          <w:b/>
        </w:rPr>
        <w:t xml:space="preserve">5. </w:t>
      </w:r>
      <w:r>
        <w:t>Escriba el motivo del rollback.</w:t>
      </w:r>
    </w:p>
    <w:p>
      <w:pPr>
        <w:ind w:left="461" w:hanging="403"/>
      </w:pPr>
      <w:r>
        <w:rPr>
          <w:b/>
        </w:rPr>
        <w:t xml:space="preserve">6. </w:t>
      </w:r>
      <w:r>
        <w:t>El sistema crea una nueva versión efectiva; no borra el historial.</w:t>
      </w:r>
    </w:p>
    <w:p>
      <w:r>
        <w:br w:type="page"/>
      </w:r>
    </w:p>
    <w:p>
      <w:pPr>
        <w:pStyle w:val="Heading1"/>
        <w:keepNext/>
      </w:pPr>
      <w:r>
        <w:t>Decidir si omitir verificación profunda</w:t>
      </w:r>
    </w:p>
    <w:p>
      <w:r>
        <w:t>La omisión reduce garantías y debe ser excepcional.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Beneficio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Riesgo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Verificación profunda activa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Demuestra estructura, cifrado y controles específicos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Consume CPU y tiempo de inspección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Verificación profunda omitida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Permite formatos sin validador completo o reduce tiempo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No demuestra ausencia de contraseña, daño o contenido activo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Extensión bloqueada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Evita aceptar un riesgo no controlado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Obliga a convertir o cambiar el canal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DEDEF"/>
            <w:tcBorders>
              <w:top w:val="single" w:sz="12" w:color="B83245"/>
              <w:left w:val="single" w:sz="12" w:color="B83245"/>
              <w:bottom w:val="single" w:sz="12" w:color="B83245"/>
              <w:right w:val="single" w:sz="12" w:color="B83245"/>
              <w:insideH w:val="single" w:sz="12" w:color="B83245"/>
              <w:insideV w:val="single" w:sz="12" w:color="B83245"/>
            </w:tcBorders>
          </w:tcPr>
          <w:p>
            <w:pPr>
              <w:spacing w:after="0"/>
            </w:pPr>
            <w:r>
              <w:rPr>
                <w:b/>
              </w:rPr>
              <w:t>NO DESACTIVE</w:t>
            </w:r>
            <w:r>
              <w:t xml:space="preserve"> la verificación solo para hacer desaparecer un error. Primero determine si el formato es verificable, si existe una alternativa segura y quién acepta el riesgo residual.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Respuesta operativa por escenario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Escenario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Acción inmediata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Evidencia a conservar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/readyz</w:t>
            </w:r>
            <w:r>
              <w:rPr>
                <w:sz w:val="16"/>
              </w:rPr>
              <w:t xml:space="preserve"> en error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Detener nuevas cargas o drenar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Respuesta, hora, dependencias y logs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Falla de catálogo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No duplicar manualmente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TraceId, archivo, RFC y requerimiento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Recibo faltante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Investigar persistencia/firma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UploadId, TraceId y estado de llave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Memoria o disco en rojo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Reducir admisión y revisar capacidad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Tendencia, espacio, cargas grandes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Pendientes críticos crecen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Revisar red, cuotas y checkpoints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Edad, estado, offset y RFC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Omitidas por política aumentan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Revisar cambios administrativos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Extensión, versión, motivo y responsable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Dead-letter de alertas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Resolver canal y reintentar controladamente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Evento, intentos y error externo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Cierre de sesión y seguridad</w:t>
      </w:r>
    </w:p>
    <w:p>
      <w:pPr>
        <w:pStyle w:val="ListBullet"/>
      </w:pPr>
      <w:r>
        <w:t xml:space="preserve">Presione </w:t>
      </w:r>
      <w:r>
        <w:rPr>
          <w:b/>
        </w:rPr>
        <w:t>Cerrar sesión</w:t>
      </w:r>
      <w:r>
        <w:t xml:space="preserve"> al terminar.</w:t>
      </w:r>
    </w:p>
    <w:p>
      <w:pPr>
        <w:pStyle w:val="ListBullet"/>
      </w:pPr>
      <w:r>
        <w:t>No comparta el equipo con una sesión administrativa abierta.</w:t>
      </w:r>
    </w:p>
    <w:p>
      <w:pPr>
        <w:pStyle w:val="ListBullet"/>
      </w:pPr>
      <w:r>
        <w:t>No pegue tokens en la URL, consola o capturas.</w:t>
      </w:r>
    </w:p>
    <w:p>
      <w:pPr>
        <w:pStyle w:val="ListBullet"/>
      </w:pPr>
      <w:r>
        <w:t>No copie CER, KEY o contraseñas a tickets.</w:t>
      </w:r>
    </w:p>
    <w:p>
      <w:pPr>
        <w:pStyle w:val="ListBullet"/>
      </w:pPr>
      <w:r>
        <w:t xml:space="preserve">Use el </w:t>
      </w:r>
      <w:r>
        <w:rPr>
          <w:rFonts w:ascii="Consolas" w:hAnsi="Consolas"/>
          <w:color w:val="5B3112"/>
          <w:sz w:val="19"/>
        </w:rPr>
        <w:t>TraceId</w:t>
      </w:r>
      <w:r>
        <w:t xml:space="preserve"> y </w:t>
      </w:r>
      <w:r>
        <w:rPr>
          <w:rFonts w:ascii="Consolas" w:hAnsi="Consolas"/>
          <w:color w:val="5B3112"/>
          <w:sz w:val="19"/>
        </w:rPr>
        <w:t>ReceiptId</w:t>
      </w:r>
      <w:r>
        <w:t xml:space="preserve"> para soporte; existen precisamente para evitar la arqueología por intuición.</w:t>
      </w:r>
    </w:p>
    <w:p>
      <w:r>
        <w:br w:type="page"/>
      </w:r>
    </w:p>
    <w:p>
      <w:pPr>
        <w:pStyle w:val="Heading1"/>
        <w:keepNext/>
      </w:pPr>
      <w:r>
        <w:t>Lista de verificación diaria</w:t>
      </w:r>
    </w:p>
    <w:p>
      <w:pPr>
        <w:pStyle w:val="ListBullet"/>
      </w:pPr>
      <w:r>
        <w:t xml:space="preserve">El indicador superior dice </w:t>
      </w:r>
      <w:r>
        <w:rPr>
          <w:b/>
        </w:rPr>
        <w:t>Sistema en línea</w:t>
      </w:r>
      <w:r>
        <w:t>.</w:t>
      </w:r>
    </w:p>
    <w:p>
      <w:pPr>
        <w:pStyle w:val="ListBullet"/>
      </w:pPr>
      <w:r>
        <w:rPr>
          <w:rFonts w:ascii="Consolas" w:hAnsi="Consolas"/>
          <w:color w:val="5B3112"/>
          <w:sz w:val="19"/>
        </w:rPr>
        <w:t>/readyz</w:t>
      </w:r>
      <w:r>
        <w:t xml:space="preserve"> está en 200.</w:t>
      </w:r>
    </w:p>
    <w:p>
      <w:pPr>
        <w:pStyle w:val="ListBullet"/>
      </w:pPr>
      <w:r>
        <w:t>Base de datos y almacenamiento están operando.</w:t>
      </w:r>
    </w:p>
    <w:p>
      <w:pPr>
        <w:pStyle w:val="ListBullet"/>
      </w:pPr>
      <w:r>
        <w:t>No hay crecimiento injustificado de fallas o pendientes críticos.</w:t>
      </w:r>
    </w:p>
    <w:p>
      <w:pPr>
        <w:pStyle w:val="ListBullet"/>
      </w:pPr>
      <w:r>
        <w:t>Cobertura de recibos es 100 % o existe incidente documentado.</w:t>
      </w:r>
    </w:p>
    <w:p>
      <w:pPr>
        <w:pStyle w:val="ListBullet"/>
      </w:pPr>
      <w:r>
        <w:t>Las omisiones de verificación corresponden a políticas aprobadas.</w:t>
      </w:r>
    </w:p>
    <w:p>
      <w:pPr>
        <w:pStyle w:val="ListBullet"/>
      </w:pPr>
      <w:r>
        <w:t>Espacio de disco y memoria están dentro del umbral operativo.</w:t>
      </w:r>
    </w:p>
    <w:p>
      <w:pPr>
        <w:pStyle w:val="ListBullet"/>
      </w:pPr>
      <w:r>
        <w:t>Las alertas externas no tienen dead-letter pendiente.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tblLook w:firstColumn="1" w:firstRow="1" w:lastColumn="0" w:lastRow="0" w:noHBand="0" w:noVBand="1" w:val="04A0"/>
    </w:tblPr>
    <w:tblGrid>
      <w:gridCol w:w="5076"/>
      <w:gridCol w:w="5076"/>
    </w:tblGrid>
    <w:tr>
      <w:tc>
        <w:tcPr>
          <w:tcW w:type="dxa" w:w="5076"/>
        </w:tcPr>
        <w:p>
          <w:r>
            <w:rPr>
              <w:sz w:val="16"/>
            </w:rPr>
            <w:t>Uso institucional  ·  Documentación controlada</w:t>
          </w:r>
        </w:p>
      </w:tc>
      <w:tc>
        <w:tcPr>
          <w:tcW w:type="dxa" w:w="5076"/>
        </w:tcPr>
        <w:p>
          <w:pPr>
            <w:jc w:val="right"/>
          </w:pPr>
          <w:r>
            <w:rPr>
              <w:sz w:val="18"/>
            </w:rPr>
            <w:t xml:space="preserve">Página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</w:tblPr>
    <w:tblGrid>
      <w:gridCol w:w="1944"/>
      <w:gridCol w:w="8208"/>
    </w:tblGrid>
    <w:tr>
      <w:tc>
        <w:tcPr>
          <w:tcW w:type="dxa" w:w="5076"/>
        </w:tcPr>
        <w:p>
          <w:r>
            <w:drawing>
              <wp:inline xmlns:a="http://schemas.openxmlformats.org/drawingml/2006/main" xmlns:pic="http://schemas.openxmlformats.org/drawingml/2006/picture">
                <wp:extent cx="1143000" cy="234412"/>
                <wp:docPr id="1" name="Picture 1" descr="Logotipo de la Auditoría Superior del Estado de Sinaloa" title="Logotipo de la Auditoría Superior del Estado de Sinalo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s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23441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76"/>
        </w:tcPr>
        <w:p>
          <w:pPr>
            <w:jc w:val="right"/>
          </w:pPr>
          <w:r>
            <w:rPr>
              <w:rFonts w:ascii="Segoe UI" w:hAnsi="Segoe UI"/>
              <w:b/>
              <w:color w:val="5B3112"/>
              <w:sz w:val="17"/>
            </w:rPr>
            <w:t>Transfer ASE 2027  ·  FileXfer.AdminDashboard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Segoe UI" w:hAnsi="Segoe UI"/>
      <w:color w:val="191D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administración — FileXfer.AdminDashboard</dc:title>
  <dc:subject>Ecosistema Transfer ASE 2027</dc:subject>
  <dc:creator>Auditoría Superior del Estado de Sinaloa</dc:creator>
  <cp:keywords/>
  <dc:description>Documento generado desde fuentes versionadas del repositorio TransferASE2027.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