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918895"/>
            <wp:docPr id="1" name="Picture 1" descr="Logotipo de la Auditoría Superior del Estado de Sinaloa" title="Logotipo de la Auditoría Superior del Estado de Sinalo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918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Manual de operación</w:t>
      </w:r>
    </w:p>
    <w:p>
      <w:pPr>
        <w:pStyle w:val="Subtitle"/>
        <w:jc w:val="center"/>
      </w:pPr>
      <w:r>
        <w:rPr>
          <w:b/>
          <w:color w:val="5B3112"/>
        </w:rPr>
        <w:t>FileXfer.Server.Full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EEDC"/>
            <w:tcBorders>
              <w:top w:val="single" w:sz="10" w:color="B98A36"/>
              <w:left w:val="single" w:sz="10" w:color="B98A36"/>
              <w:bottom w:val="single" w:sz="10" w:color="B98A36"/>
              <w:right w:val="single" w:sz="10" w:color="B98A36"/>
              <w:insideH w:val="single" w:sz="10" w:color="B98A36"/>
              <w:insideV w:val="single" w:sz="10" w:color="B98A36"/>
            </w:tcBorders>
          </w:tcPr>
          <w:p>
            <w:pPr>
              <w:jc w:val="center"/>
            </w:pPr>
            <w:r>
              <w:rPr>
                <w:b/>
                <w:color w:val="5B3112"/>
                <w:sz w:val="26"/>
              </w:rPr>
              <w:t>Guía gráfica, detallada y operable paso a paso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Infraestructura, soporte y responsables de despliegue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Versión documental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1.0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22 de octubre de 2026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Uso institucional</w:t>
            </w:r>
          </w:p>
        </w:tc>
      </w:tr>
    </w:tbl>
    <w:p>
      <w:pPr>
        <w:jc w:val="center"/>
      </w:pPr>
      <w:r>
        <w:rPr>
          <w:i/>
          <w:color w:val="B83245"/>
          <w:sz w:val="20"/>
        </w:rPr>
        <w:t>Regla de oro: no avance si la pantalla no confirma el paso anterior.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t>Este índice sigue el orden operativo del manual. Los títulos también forman la navegación del documento.</w:t>
      </w:r>
    </w:p>
    <w:p>
      <w:pPr>
        <w:ind w:left="360" w:hanging="360"/>
      </w:pPr>
      <w:r>
        <w:rPr>
          <w:b/>
        </w:rPr>
        <w:t xml:space="preserve">1. </w:t>
      </w:r>
      <w:r>
        <w:rPr>
          <w:b/>
        </w:rPr>
        <w:t>Alcance</w:t>
      </w:r>
    </w:p>
    <w:p>
      <w:pPr>
        <w:ind w:left="360" w:hanging="360"/>
      </w:pPr>
      <w:r>
        <w:rPr>
          <w:b/>
        </w:rPr>
        <w:t xml:space="preserve">2. </w:t>
      </w:r>
      <w:r>
        <w:rPr>
          <w:b/>
        </w:rPr>
        <w:t>Principios de despliegue</w:t>
      </w:r>
    </w:p>
    <w:p>
      <w:pPr>
        <w:ind w:left="360" w:hanging="360"/>
      </w:pPr>
      <w:r>
        <w:rPr>
          <w:b/>
        </w:rPr>
        <w:t xml:space="preserve">3. </w:t>
      </w:r>
      <w:r>
        <w:rPr>
          <w:b/>
        </w:rPr>
        <w:t>Datos del entorno de desarrollo conocido</w:t>
      </w:r>
    </w:p>
    <w:p>
      <w:pPr>
        <w:ind w:left="360" w:hanging="360"/>
      </w:pPr>
      <w:r>
        <w:rPr>
          <w:b/>
        </w:rPr>
        <w:t xml:space="preserve">4. </w:t>
      </w:r>
      <w:r>
        <w:rPr>
          <w:b/>
        </w:rPr>
        <w:t>Preparar el servidor Windows</w:t>
      </w:r>
    </w:p>
    <w:p>
      <w:pPr>
        <w:pStyle w:val="ListBullet2"/>
      </w:pPr>
      <w:r>
        <w:t>Requisitos</w:t>
      </w:r>
    </w:p>
    <w:p>
      <w:pPr>
        <w:pStyle w:val="ListBullet2"/>
      </w:pPr>
      <w:r>
        <w:t>Preparar carpetas</w:t>
      </w:r>
    </w:p>
    <w:p>
      <w:pPr>
        <w:ind w:left="360" w:hanging="360"/>
      </w:pPr>
      <w:r>
        <w:rPr>
          <w:b/>
        </w:rPr>
        <w:t xml:space="preserve">5. </w:t>
      </w:r>
      <w:r>
        <w:rPr>
          <w:b/>
        </w:rPr>
        <w:t>Configuración obligatoria</w:t>
      </w:r>
    </w:p>
    <w:p>
      <w:pPr>
        <w:pStyle w:val="ListBullet2"/>
      </w:pPr>
      <w:r>
        <w:t>Variables principales</w:t>
      </w:r>
    </w:p>
    <w:p>
      <w:pPr>
        <w:pStyle w:val="ListBullet2"/>
      </w:pPr>
      <w:r>
        <w:t>Ejemplo sin secretos</w:t>
      </w:r>
    </w:p>
    <w:p>
      <w:pPr>
        <w:ind w:left="360" w:hanging="360"/>
      </w:pPr>
      <w:r>
        <w:rPr>
          <w:b/>
        </w:rPr>
        <w:t xml:space="preserve">6. </w:t>
      </w:r>
      <w:r>
        <w:rPr>
          <w:b/>
        </w:rPr>
        <w:t>Seguridad e identidad</w:t>
      </w:r>
    </w:p>
    <w:p>
      <w:pPr>
        <w:pStyle w:val="ListBullet2"/>
      </w:pPr>
      <w:r>
        <w:t>e.firma</w:t>
      </w:r>
    </w:p>
    <w:p>
      <w:pPr>
        <w:pStyle w:val="ListBullet2"/>
      </w:pPr>
      <w:r>
        <w:t>Recibos</w:t>
      </w:r>
    </w:p>
    <w:p>
      <w:pPr>
        <w:pStyle w:val="ListBullet2"/>
      </w:pPr>
      <w:r>
        <w:t>Alertas</w:t>
      </w:r>
    </w:p>
    <w:p>
      <w:pPr>
        <w:ind w:left="360" w:hanging="360"/>
      </w:pPr>
      <w:r>
        <w:rPr>
          <w:b/>
        </w:rPr>
        <w:t xml:space="preserve">7. </w:t>
      </w:r>
      <w:r>
        <w:rPr>
          <w:b/>
        </w:rPr>
        <w:t>Preparar la liberación</w:t>
      </w:r>
    </w:p>
    <w:p>
      <w:pPr>
        <w:pStyle w:val="ListBullet2"/>
      </w:pPr>
      <w:r>
        <w:t>Construir</w:t>
      </w:r>
    </w:p>
    <w:p>
      <w:pPr>
        <w:pStyle w:val="ListBullet2"/>
      </w:pPr>
      <w:r>
        <w:t>Verificar de forma independiente</w:t>
      </w:r>
    </w:p>
    <w:p>
      <w:pPr>
        <w:ind w:left="360" w:hanging="360"/>
      </w:pPr>
      <w:r>
        <w:rPr>
          <w:b/>
        </w:rPr>
        <w:t xml:space="preserve">8. </w:t>
      </w:r>
      <w:r>
        <w:rPr>
          <w:b/>
        </w:rPr>
        <w:t>Preflight por fases</w:t>
      </w:r>
    </w:p>
    <w:p>
      <w:pPr>
        <w:ind w:left="360" w:hanging="360"/>
      </w:pPr>
      <w:r>
        <w:rPr>
          <w:b/>
        </w:rPr>
        <w:t xml:space="preserve">9. </w:t>
      </w:r>
      <w:r>
        <w:rPr>
          <w:b/>
        </w:rPr>
        <w:t>Migraciones y orden de despliegue</w:t>
      </w:r>
    </w:p>
    <w:p>
      <w:pPr>
        <w:ind w:left="360" w:hanging="360"/>
      </w:pPr>
      <w:r>
        <w:rPr>
          <w:b/>
        </w:rPr>
        <w:t xml:space="preserve">10. </w:t>
      </w:r>
      <w:r>
        <w:rPr>
          <w:b/>
        </w:rPr>
        <w:t>Ejecutar como servicio Windows</w:t>
      </w:r>
    </w:p>
    <w:p>
      <w:pPr>
        <w:pStyle w:val="ListBullet2"/>
      </w:pPr>
      <w:r>
        <w:t>Instalación controlada</w:t>
      </w:r>
    </w:p>
    <w:p>
      <w:pPr>
        <w:pStyle w:val="ListBullet2"/>
      </w:pPr>
      <w:r>
        <w:t>Alternativa IIS</w:t>
      </w:r>
    </w:p>
    <w:p>
      <w:pPr>
        <w:ind w:left="360" w:hanging="360"/>
      </w:pPr>
      <w:r>
        <w:rPr>
          <w:b/>
        </w:rPr>
        <w:t xml:space="preserve">11. </w:t>
      </w:r>
      <w:r>
        <w:rPr>
          <w:b/>
        </w:rPr>
        <w:t>Validación funcional posterior</w:t>
      </w:r>
    </w:p>
    <w:p>
      <w:pPr>
        <w:pStyle w:val="ListBullet2"/>
      </w:pPr>
      <w:r>
        <w:t>Prueba mínima obligatoria</w:t>
      </w:r>
    </w:p>
    <w:p>
      <w:pPr>
        <w:ind w:left="360" w:hanging="360"/>
      </w:pPr>
      <w:r>
        <w:rPr>
          <w:b/>
        </w:rPr>
        <w:t xml:space="preserve">12. </w:t>
      </w:r>
      <w:r>
        <w:rPr>
          <w:b/>
        </w:rPr>
        <w:t>Operación diaria</w:t>
      </w:r>
    </w:p>
    <w:p>
      <w:pPr>
        <w:pStyle w:val="ListBullet2"/>
      </w:pPr>
      <w:r>
        <w:t>Endpoints</w:t>
      </w:r>
    </w:p>
    <w:p>
      <w:pPr>
        <w:pStyle w:val="ListBullet2"/>
      </w:pPr>
      <w:r>
        <w:t>Métricas y trazas</w:t>
      </w:r>
    </w:p>
    <w:p>
      <w:pPr>
        <w:pStyle w:val="ListBullet2"/>
      </w:pPr>
      <w:r>
        <w:t>Retención recomendada</w:t>
      </w:r>
    </w:p>
    <w:p>
      <w:pPr>
        <w:ind w:left="360" w:hanging="360"/>
      </w:pPr>
      <w:r>
        <w:rPr>
          <w:b/>
        </w:rPr>
        <w:t xml:space="preserve">13. </w:t>
      </w:r>
      <w:r>
        <w:rPr>
          <w:b/>
        </w:rPr>
        <w:t>Diagnóstico</w:t>
      </w:r>
    </w:p>
    <w:p>
      <w:pPr>
        <w:ind w:left="360" w:hanging="360"/>
      </w:pPr>
      <w:r>
        <w:rPr>
          <w:b/>
        </w:rPr>
        <w:t xml:space="preserve">14. </w:t>
      </w:r>
      <w:r>
        <w:rPr>
          <w:b/>
        </w:rPr>
        <w:t>Rollback</w:t>
      </w:r>
    </w:p>
    <w:p>
      <w:pPr>
        <w:ind w:left="360" w:hanging="360"/>
      </w:pPr>
      <w:r>
        <w:rPr>
          <w:b/>
        </w:rPr>
        <w:t xml:space="preserve">15. </w:t>
      </w:r>
      <w:r>
        <w:rPr>
          <w:b/>
        </w:rPr>
        <w:t>Evidencia de cierre de ventana</w:t>
      </w:r>
    </w:p>
    <w:p>
      <w:r>
        <w:br w:type="page"/>
      </w:r>
    </w:p>
    <w:p>
      <w:pPr>
        <w:pStyle w:val="Heading1"/>
        <w:keepNext/>
      </w:pPr>
      <w:r>
        <w:t>Alcance</w:t>
      </w:r>
    </w:p>
    <w:p>
      <w:r>
        <w:t>Este manual cubre preparación, configuración, publicación, validación, operación, monitoreo y rollback del servidor .NET 8 que expone API REST, gRPC, Dashboard, health checks, políticas, recibos y actualizaciones del cliente.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51368"/>
            <wp:docPr id="2" name="Picture 2" descr="Arquitectura del ecosistema" title="Arquitectura del ecosiste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-ecosist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51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80"/>
          <w:sz w:val="17"/>
        </w:rPr>
        <w:t>Figura 1. El servidor coordina identidad, catálogo, almacenamiento y evidencia; ningún componente aislado confirma una carga completa.</w:t>
      </w:r>
    </w:p>
    <w:p>
      <w:r>
        <w:br w:type="page"/>
      </w:r>
    </w:p>
    <w:p>
      <w:pPr>
        <w:pStyle w:val="Heading1"/>
        <w:keepNext/>
      </w:pPr>
      <w:r>
        <w:t>Principios de despliegue</w:t>
      </w:r>
    </w:p>
    <w:p>
      <w:pPr>
        <w:pStyle w:val="ListBullet"/>
      </w:pPr>
      <w:r>
        <w:t xml:space="preserve">Publique artefactos generados por </w:t>
      </w:r>
      <w:r>
        <w:rPr>
          <w:rFonts w:ascii="Consolas" w:hAnsi="Consolas"/>
          <w:color w:val="5B3112"/>
          <w:sz w:val="19"/>
        </w:rPr>
        <w:t>build/Build-Release.ps1</w:t>
      </w:r>
      <w:r>
        <w:t xml:space="preserve">; no copie </w:t>
      </w:r>
      <w:r>
        <w:rPr>
          <w:rFonts w:ascii="Consolas" w:hAnsi="Consolas"/>
          <w:color w:val="5B3112"/>
          <w:sz w:val="19"/>
        </w:rPr>
        <w:t>bin/Release</w:t>
      </w:r>
      <w:r>
        <w:t xml:space="preserve"> manualmente.</w:t>
      </w:r>
    </w:p>
    <w:p>
      <w:pPr>
        <w:pStyle w:val="ListBullet"/>
      </w:pPr>
      <w:r>
        <w:t>Despliegue primero el servidor compatible y después cliente/updater.</w:t>
      </w:r>
    </w:p>
    <w:p>
      <w:pPr>
        <w:pStyle w:val="ListBullet"/>
      </w:pPr>
      <w:r>
        <w:t>Use HTTPS y un nombre cubierto por el certificado.</w:t>
      </w:r>
    </w:p>
    <w:p>
      <w:pPr>
        <w:pStyle w:val="ListBullet"/>
      </w:pPr>
      <w:r>
        <w:t>No coloque contraseñas, JWT, llaves privadas o cadenas productivas en archivos versionados.</w:t>
      </w:r>
    </w:p>
    <w:p>
      <w:pPr>
        <w:pStyle w:val="ListBullet"/>
      </w:pPr>
      <w:r>
        <w:t>Ejecute preflight, migraciones, smoke tests y prueba funcional antes de abrir tráfico.</w:t>
      </w:r>
    </w:p>
    <w:p>
      <w:pPr>
        <w:pStyle w:val="ListBullet"/>
      </w:pPr>
      <w:r>
        <w:t>Mantenga versión anterior, backups y procedimiento de rollback durante toda la ventana.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DEF"/>
            <w:tcBorders>
              <w:top w:val="single" w:sz="12" w:color="B83245"/>
              <w:left w:val="single" w:sz="12" w:color="B83245"/>
              <w:bottom w:val="single" w:sz="12" w:color="B83245"/>
              <w:right w:val="single" w:sz="12" w:color="B83245"/>
              <w:insideH w:val="single" w:sz="12" w:color="B83245"/>
              <w:insideV w:val="single" w:sz="12" w:color="B83245"/>
            </w:tcBorders>
          </w:tcPr>
          <w:p>
            <w:pPr>
              <w:spacing w:after="0"/>
            </w:pPr>
            <w:r>
              <w:rPr>
                <w:b/>
              </w:rPr>
              <w:t>IMPORTANTE:</w:t>
            </w:r>
            <w:r>
              <w:t xml:space="preserve"> producción debe priorizar estabilidad y recuperación. Una publicación “rápida” sin rollback es una apuesta; una ventana de cambio no es un casino.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Datos del entorno de desarrollo conocido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Valor de desarrollo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Servidor local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192.168.2.243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Use DNS cuando exista y asegure coincidencia TLS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IP pública informada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187.141.128.194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Requiere NAT, firewall y certificado válido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API local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https://localhost:51136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Solo desde el mismo equipo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https://localhost:51136/admin/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Acceso con e.firma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Health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/healthz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Vida del proceso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Readiness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/readyz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Dependencias y esquema disponibles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BuDi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192.168.2.8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5B3112"/>
                <w:sz w:val="16"/>
              </w:rPr>
              <w:t>Budi_Dev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Credencial externa al repositorio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FileXfer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192.168.2.3\SQL2014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5B3112"/>
                <w:sz w:val="16"/>
              </w:rPr>
              <w:t>FileXferDev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Credencial externa al repositorio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Storage de pruebas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\\192.168.2.21\DocumentosBuzonDigital_Pruebas\Transfer\Finalizados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La cuenta de servicio necesita ACL mínima</w:t>
            </w:r>
          </w:p>
        </w:tc>
      </w:tr>
    </w:tbl>
    <w:p>
      <w:r>
        <w:t>Estos valores no autorizan producción. Usuario y contraseña de SQL deben obtenerse desde el mecanismo aprobado del entorno.</w:t>
      </w:r>
    </w:p>
    <w:p>
      <w:r>
        <w:br w:type="page"/>
      </w:r>
    </w:p>
    <w:p>
      <w:pPr>
        <w:pStyle w:val="Heading1"/>
        <w:keepNext/>
      </w:pPr>
      <w:r>
        <w:t>Preparar el servidor Windows</w:t>
      </w:r>
    </w:p>
    <w:p>
      <w:pPr>
        <w:pStyle w:val="Heading2"/>
        <w:keepNext/>
      </w:pPr>
      <w:r>
        <w:t>Requisitos</w:t>
      </w:r>
    </w:p>
    <w:p>
      <w:pPr>
        <w:pStyle w:val="ListBullet"/>
      </w:pPr>
      <w:r>
        <w:t>Windows Server soportado y actualizado.</w:t>
      </w:r>
    </w:p>
    <w:p>
      <w:pPr>
        <w:pStyle w:val="ListBullet"/>
      </w:pPr>
      <w:r>
        <w:t>.NET 8 Hosting Bundle para IIS o runtime correspondiente para servicio Windows.</w:t>
      </w:r>
    </w:p>
    <w:p>
      <w:pPr>
        <w:pStyle w:val="ListBullet"/>
      </w:pPr>
      <w:r>
        <w:t>PowerShell 7.</w:t>
      </w:r>
    </w:p>
    <w:p>
      <w:pPr>
        <w:pStyle w:val="ListBullet"/>
      </w:pPr>
      <w:r>
        <w:t>Acceso de red a FileXferDb, BuDi, storage, SMTP y hosts OCSP/CRL autorizados.</w:t>
      </w:r>
    </w:p>
    <w:p>
      <w:pPr>
        <w:pStyle w:val="ListBullet"/>
      </w:pPr>
      <w:r>
        <w:t>Certificado TLS con llave privada.</w:t>
      </w:r>
    </w:p>
    <w:p>
      <w:pPr>
        <w:pStyle w:val="ListBullet"/>
      </w:pPr>
      <w:r>
        <w:t>Cuenta de servicio dedicada, preferentemente gMSA.</w:t>
      </w:r>
    </w:p>
    <w:p>
      <w:pPr>
        <w:pStyle w:val="ListBullet"/>
      </w:pPr>
      <w:r>
        <w:t xml:space="preserve">qpdf incluido en el paquete o ruta </w:t>
      </w:r>
      <w:r>
        <w:rPr>
          <w:rFonts w:ascii="Consolas" w:hAnsi="Consolas"/>
          <w:color w:val="5B3112"/>
          <w:sz w:val="19"/>
        </w:rPr>
        <w:t>FILEXFER_QPDF_PATH</w:t>
      </w:r>
      <w:r>
        <w:t>.</w:t>
      </w:r>
    </w:p>
    <w:p>
      <w:pPr>
        <w:pStyle w:val="ListBullet"/>
      </w:pPr>
      <w:r>
        <w:t>Espacio para binarios, staging, logs y archivos parciales.</w:t>
      </w:r>
    </w:p>
    <w:p>
      <w:pPr>
        <w:pStyle w:val="Heading2"/>
        <w:keepNext/>
      </w:pPr>
      <w:r>
        <w:t>Preparar carpetas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Carpeta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Permisos sugeridos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C:\FileXfer\app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Binarios activos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Lectura/ejecución para servicio; escritura solo despliegue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C:\FileXfer\releases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Versiones verificadas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Escritura del proceso de liberación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C:\FileXfer\evidence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Reportes de preflight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Lectura soporte; escritura despliegue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Storage configurado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Parciales y finalizados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Cuenta de servicio, SYSTEM, administradores autorizados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Carpeta de llave de recibos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PEM cifrado o protegido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Solo cuenta de servicio y administradores de seguridad</w:t>
            </w:r>
          </w:p>
        </w:tc>
      </w:tr>
    </w:tbl>
    <w:p>
      <w:r>
        <w:t>No conceda ejecución a usuarios generales sobre el volumen de documentos. El servidor almacena archivos; no debe abrirlos ni ejecutarlos.</w:t>
      </w:r>
    </w:p>
    <w:p>
      <w:r>
        <w:br w:type="page"/>
      </w:r>
    </w:p>
    <w:p>
      <w:pPr>
        <w:pStyle w:val="Heading1"/>
        <w:keepNext/>
      </w:pPr>
      <w:r>
        <w:t>Configuración obligatoria</w:t>
      </w:r>
    </w:p>
    <w:p>
      <w:pPr>
        <w:pStyle w:val="Heading2"/>
        <w:keepNext/>
      </w:pPr>
      <w:r>
        <w:t>Variables principales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ConnectionStrings__FileXferDb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Base técnica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En producción: cifrado y certificado validado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ConnectionStrings__BudiDev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Catálogo BuDi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Apunta a la base autorizada del entorno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Storage__BasePath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Almacenamiento final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Ruta absoluta/UNC bajo ACL exclusiva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Storage__MaxUploadBytes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Tope global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0</w:t>
            </w:r>
            <w:r>
              <w:rPr>
                <w:sz w:val="16"/>
              </w:rPr>
              <w:t xml:space="preserve"> significa sin límite funcional; positivo impone límite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Storage__MaxChunkBytes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Tamaño de bloque gRPC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Mantenga un valor compatible con red y memoria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Storage__ResumeRetentionHours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Vida del parcial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Recomendado 72; rango permitido 1–168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AllowedHosts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Hosts HTTP válidos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 xml:space="preserve">Lista explícita en producción, nunca </w:t>
            </w:r>
            <w:r>
              <w:rPr>
                <w:rFonts w:ascii="Consolas" w:hAnsi="Consolas"/>
                <w:color w:val="5B3112"/>
                <w:sz w:val="16"/>
              </w:rPr>
              <w:t>*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Security__Jwt__SigningKey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Firma JWT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Secreto aleatorio de al menos 32 bytes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Security__PathEncryptionKey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Protección de rutas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Base64 de exactamente 32 bytes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Security__Receipts__PrivateKeyPemPath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Firma de recibos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RSA persistente de 3072 bits o más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Security__SAT__TrustedRootCertificatePaths__N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Raíces SAT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Archivos de confianza explícitos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Security__SAT__AllowedRevocationHosts__N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OCSP/CRL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Allowlist estricta</w:t>
            </w:r>
          </w:p>
        </w:tc>
      </w:tr>
    </w:tbl>
    <w:p>
      <w:pPr>
        <w:pStyle w:val="Heading2"/>
        <w:keepNext/>
      </w:pPr>
      <w:r>
        <w:t>Ejemplo sin secretos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  <w:br/>
              <w:t xml:space="preserve">  "Kestrel": {</w:t>
              <w:br/>
              <w:t xml:space="preserve">    "Endpoints": {</w:t>
              <w:br/>
              <w:t xml:space="preserve">      "Https": {</w:t>
              <w:br/>
              <w:t xml:space="preserve">        "Url": "https://0.0.0.0:51136",</w:t>
              <w:br/>
              <w:t xml:space="preserve">        "Protocols": "Http1AndHttp2"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"ConnectionStrings": {</w:t>
              <w:br/>
              <w:t xml:space="preserve">    "FileXferDb": "__DESDE_ALMACEN_SECRETO__",</w:t>
              <w:br/>
              <w:t xml:space="preserve">    "BudiDev": "__DESDE_ALMACEN_SECRETO__"</w:t>
              <w:br/>
              <w:t xml:space="preserve">  },</w:t>
              <w:br/>
              <w:t xml:space="preserve">  "Storage": {</w:t>
              <w:br/>
              <w:t xml:space="preserve">    "BasePath": "\\\\SERVIDOR\\RECURSO\\Transfer\\Finalizados",</w:t>
              <w:br/>
              <w:t xml:space="preserve">    "MaxUploadBytes": 0,</w:t>
              <w:br/>
              <w:t xml:space="preserve">    "MaxChunkBytes": 2097152,</w:t>
              <w:br/>
              <w:t xml:space="preserve">    "ResumeRetentionHours": 72</w:t>
              <w:br/>
              <w:t xml:space="preserve">  },</w:t>
              <w:br/>
              <w:t xml:space="preserve">  "AllowedHosts": "transfer.empresa.gob.mx"</w:t>
              <w:br/>
              <w:t>}</w:t>
            </w:r>
          </w:p>
        </w:tc>
      </w:tr>
    </w:tbl>
    <w:p>
      <w:r>
        <w:rPr>
          <w:rFonts w:ascii="Consolas" w:hAnsi="Consolas"/>
          <w:color w:val="5B3112"/>
          <w:sz w:val="19"/>
        </w:rPr>
        <w:t>0.0.0.0</w:t>
      </w:r>
      <w:r>
        <w:t xml:space="preserve"> sirve para escuchar en todas las interfaces; el usuario debe navegar a </w:t>
      </w:r>
      <w:r>
        <w:rPr>
          <w:rFonts w:ascii="Consolas" w:hAnsi="Consolas"/>
          <w:color w:val="5B3112"/>
          <w:sz w:val="19"/>
        </w:rPr>
        <w:t>localhost</w:t>
      </w:r>
      <w:r>
        <w:t>, IP o DNS válido.</w:t>
      </w:r>
    </w:p>
    <w:p>
      <w:r>
        <w:br w:type="page"/>
      </w:r>
    </w:p>
    <w:p>
      <w:pPr>
        <w:pStyle w:val="Heading1"/>
        <w:keepNext/>
      </w:pPr>
      <w:r>
        <w:t>Seguridad e identidad</w:t>
      </w:r>
    </w:p>
    <w:p>
      <w:pPr>
        <w:pStyle w:val="Heading2"/>
        <w:keepNext/>
      </w:pPr>
      <w:r>
        <w:t>e.firma</w:t>
      </w:r>
    </w:p>
    <w:p>
      <w:pPr>
        <w:pStyle w:val="ListBullet"/>
      </w:pPr>
      <w:r>
        <w:t>Cliente y Dashboard autentican exclusivamente con e.firma.</w:t>
      </w:r>
    </w:p>
    <w:p>
      <w:pPr>
        <w:pStyle w:val="ListBullet"/>
      </w:pPr>
      <w:r>
        <w:t>No existen rutas runtime de MFA/TOTP.</w:t>
      </w:r>
    </w:p>
    <w:p>
      <w:pPr>
        <w:pStyle w:val="ListBullet"/>
      </w:pPr>
      <w:r>
        <w:t>Producción exige cadena SAT, revocación y hosts OCSP/CRL autorizados.</w:t>
      </w:r>
    </w:p>
    <w:p>
      <w:pPr>
        <w:pStyle w:val="ListBullet"/>
      </w:pPr>
      <w:r>
        <w:rPr>
          <w:rFonts w:ascii="Consolas" w:hAnsi="Consolas"/>
          <w:color w:val="5B3112"/>
          <w:sz w:val="19"/>
        </w:rPr>
        <w:t>AllowDevelopmentUntrustedChain</w:t>
      </w:r>
      <w:r>
        <w:t xml:space="preserve"> solo puede existir en Development.</w:t>
      </w:r>
    </w:p>
    <w:p>
      <w:pPr>
        <w:pStyle w:val="ListBullet"/>
      </w:pPr>
      <w:r>
        <w:t xml:space="preserve">Cambios de rol, dispositivo o </w:t>
      </w:r>
      <w:r>
        <w:rPr>
          <w:rFonts w:ascii="Consolas" w:hAnsi="Consolas"/>
          <w:color w:val="5B3112"/>
          <w:sz w:val="19"/>
        </w:rPr>
        <w:t>SecurityVersion</w:t>
      </w:r>
      <w:r>
        <w:t xml:space="preserve"> invalidan sesiones anteriores.</w:t>
      </w:r>
    </w:p>
    <w:p>
      <w:pPr>
        <w:pStyle w:val="Heading2"/>
        <w:keepNext/>
      </w:pPr>
      <w:r>
        <w:t>Recibos</w:t>
      </w:r>
    </w:p>
    <w:p>
      <w:r>
        <w:t>Cada carga completada genera un recibo RSA-PSS-SHA256 con hash del archivo y encadenamiento al recibo anterior. La llave debe ser persistente. Rotarla sin soporte de llaves históricas rompe la verificación en línea de recibos anteriores.</w:t>
      </w:r>
    </w:p>
    <w:p>
      <w:pPr>
        <w:pStyle w:val="Heading2"/>
        <w:keepNext/>
      </w:pPr>
      <w:r>
        <w:t>Alertas</w:t>
      </w:r>
    </w:p>
    <w:p>
      <w:r>
        <w:t xml:space="preserve">El canal elegido es SMTP mediante outbox SQL. Si </w:t>
      </w:r>
      <w:r>
        <w:rPr>
          <w:rFonts w:ascii="Consolas" w:hAnsi="Consolas"/>
          <w:color w:val="5B3112"/>
          <w:sz w:val="19"/>
        </w:rPr>
        <w:t>Alerts__Enabled=true</w:t>
      </w:r>
      <w:r>
        <w:t>, configure host, puerto, TLS, remitente y destinatarios. El worker ofrece entrega al menos una vez; el receptor debe tolerar duplicados.</w:t>
      </w:r>
    </w:p>
    <w:p>
      <w:r>
        <w:br w:type="page"/>
      </w:r>
    </w:p>
    <w:p>
      <w:pPr>
        <w:pStyle w:val="Heading1"/>
        <w:keepNext/>
      </w:pPr>
      <w:r>
        <w:t>Preparar la liberación</w:t>
      </w:r>
    </w:p>
    <w:p>
      <w:pPr>
        <w:pStyle w:val="Heading2"/>
        <w:keepNext/>
      </w:pPr>
      <w:r>
        <w:t>Construir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pwsh -NoProfile -File build/Build-Release.ps1 `</w:t>
              <w:br/>
              <w:t xml:space="preserve">  -Version 2.2.0.0 `</w:t>
              <w:br/>
              <w:t xml:space="preserve">  -MinSupportedVersion 2.1.0.0 `</w:t>
              <w:br/>
              <w:t xml:space="preserve">  -DownloadUrl "https://DNS_AUTORIZADO/transfer/TransferClienteASE-2.2.0.0-win-x64.zip" `</w:t>
              <w:br/>
              <w:t xml:space="preserve">  -SigningKeyPath "RUTA_PRIVADA\transfer-update-private.pem" `</w:t>
              <w:br/>
              <w:t xml:space="preserve">  -TrustedPublicKeyPath "RUTA_CONFIG\transfer-update-public.pem" `</w:t>
              <w:br/>
              <w:t xml:space="preserve">  -CodeSigningCertificateThumbprint "HUELLA_CERTIFICADO" `</w:t>
              <w:br/>
              <w:t xml:space="preserve">  -TimestampServer "URL_RFC3161_AUTORIZADA" `</w:t>
              <w:br/>
              <w:t xml:space="preserve">  -ReleaseNotes "Descripción breve y verificable"</w:t>
            </w:r>
          </w:p>
        </w:tc>
      </w:tr>
    </w:tbl>
    <w:p>
      <w:r>
        <w:t xml:space="preserve">El paquete productivo requiere árbol Git limpio, firma del manifiesto, hash de artefactos, Authenticode y sellado de tiempo. </w:t>
      </w:r>
      <w:r>
        <w:rPr>
          <w:rFonts w:ascii="Consolas" w:hAnsi="Consolas"/>
          <w:color w:val="5B3112"/>
          <w:sz w:val="19"/>
        </w:rPr>
        <w:t>AllowUnsignedBinaries</w:t>
      </w:r>
      <w:r>
        <w:t xml:space="preserve"> produce únicamente una liberación no productiva.</w:t>
      </w:r>
    </w:p>
    <w:p>
      <w:pPr>
        <w:pStyle w:val="Heading2"/>
        <w:keepNext/>
      </w:pPr>
      <w:r>
        <w:t>Verificar de forma independiente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pwsh -NoProfile -File build/Verify-Release.ps1 `</w:t>
              <w:br/>
              <w:t xml:space="preserve">  -ReleaseDirectory "D:\Releases\2.2.0.0" `</w:t>
              <w:br/>
              <w:t xml:space="preserve">  -TrustedPublicKeyPath "D:\Configuracion\transfer-update-public.pem"</w:t>
            </w:r>
          </w:p>
        </w:tc>
      </w:tr>
    </w:tbl>
    <w:p>
      <w:r>
        <w:t>No publique si la verificación no termina correctamente.</w:t>
      </w:r>
    </w:p>
    <w:p>
      <w:r>
        <w:br w:type="page"/>
      </w:r>
    </w:p>
    <w:p>
      <w:pPr>
        <w:pStyle w:val="Heading1"/>
        <w:keepNext/>
      </w:pPr>
      <w:r>
        <w:t>Preflight por fases</w:t>
      </w:r>
    </w:p>
    <w:p>
      <w:pPr>
        <w:ind w:left="461" w:hanging="403"/>
      </w:pPr>
      <w:r>
        <w:rPr>
          <w:b/>
        </w:rPr>
        <w:t xml:space="preserve">1. </w:t>
      </w:r>
      <w:r>
        <w:t xml:space="preserve">Copie </w:t>
      </w:r>
      <w:r>
        <w:rPr>
          <w:rFonts w:ascii="Consolas" w:hAnsi="Consolas"/>
          <w:color w:val="5B3112"/>
          <w:sz w:val="19"/>
        </w:rPr>
        <w:t>deployment/staging-readiness.example.json</w:t>
      </w:r>
      <w:r>
        <w:t xml:space="preserve"> fuera del repositorio.</w:t>
      </w:r>
    </w:p>
    <w:p>
      <w:pPr>
        <w:ind w:left="461" w:hanging="403"/>
      </w:pPr>
      <w:r>
        <w:rPr>
          <w:b/>
        </w:rPr>
        <w:t xml:space="preserve">2. </w:t>
      </w:r>
      <w:r>
        <w:t>Sustituya marcadores por DNS, rutas y nombres reales; no inserte secretos.</w:t>
      </w:r>
    </w:p>
    <w:p>
      <w:pPr>
        <w:ind w:left="461" w:hanging="403"/>
      </w:pPr>
      <w:r>
        <w:rPr>
          <w:b/>
        </w:rPr>
        <w:t xml:space="preserve">3. </w:t>
      </w:r>
      <w:r>
        <w:t>Suministre cadenas SQL mediante variables de entorno o almacén secreto.</w:t>
      </w:r>
    </w:p>
    <w:p>
      <w:pPr>
        <w:ind w:left="461" w:hanging="403"/>
      </w:pPr>
      <w:r>
        <w:rPr>
          <w:b/>
        </w:rPr>
        <w:t xml:space="preserve">4. </w:t>
      </w:r>
      <w:r>
        <w:t xml:space="preserve">Ejecute </w:t>
      </w:r>
      <w:r>
        <w:rPr>
          <w:rFonts w:ascii="Consolas" w:hAnsi="Consolas"/>
          <w:color w:val="5B3112"/>
          <w:sz w:val="19"/>
        </w:rPr>
        <w:t>Infrastructure</w:t>
      </w:r>
      <w:r>
        <w:t>.</w:t>
      </w:r>
    </w:p>
    <w:p>
      <w:pPr>
        <w:ind w:left="461" w:hanging="403"/>
      </w:pPr>
      <w:r>
        <w:rPr>
          <w:b/>
        </w:rPr>
        <w:t xml:space="preserve">5. </w:t>
      </w:r>
      <w:r>
        <w:t>Aplique migraciones en el orden documentado.</w:t>
      </w:r>
    </w:p>
    <w:p>
      <w:pPr>
        <w:ind w:left="461" w:hanging="403"/>
      </w:pPr>
      <w:r>
        <w:rPr>
          <w:b/>
        </w:rPr>
        <w:t xml:space="preserve">6. </w:t>
      </w:r>
      <w:r>
        <w:t xml:space="preserve">Ejecute </w:t>
      </w:r>
      <w:r>
        <w:rPr>
          <w:rFonts w:ascii="Consolas" w:hAnsi="Consolas"/>
          <w:color w:val="5B3112"/>
          <w:sz w:val="19"/>
        </w:rPr>
        <w:t>PostMigration</w:t>
      </w:r>
      <w:r>
        <w:t>.</w:t>
      </w:r>
    </w:p>
    <w:p>
      <w:pPr>
        <w:ind w:left="461" w:hanging="403"/>
      </w:pPr>
      <w:r>
        <w:rPr>
          <w:b/>
        </w:rPr>
        <w:t xml:space="preserve">7. </w:t>
      </w:r>
      <w:r>
        <w:t>Despliegue binarios.</w:t>
      </w:r>
    </w:p>
    <w:p>
      <w:pPr>
        <w:ind w:left="461" w:hanging="403"/>
      </w:pPr>
      <w:r>
        <w:rPr>
          <w:b/>
        </w:rPr>
        <w:t xml:space="preserve">8. </w:t>
      </w:r>
      <w:r>
        <w:t xml:space="preserve">Ejecute </w:t>
      </w:r>
      <w:r>
        <w:rPr>
          <w:rFonts w:ascii="Consolas" w:hAnsi="Consolas"/>
          <w:color w:val="5B3112"/>
          <w:sz w:val="19"/>
        </w:rPr>
        <w:t>PostDeploy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pwsh -NoProfile -File deployment/Test-StagingReadiness.ps1 `</w:t>
              <w:br/>
              <w:t xml:space="preserve">  -ConfigurationPath 'C:\FileXfer\staging-readiness.json' `</w:t>
              <w:br/>
              <w:t xml:space="preserve">  -Phase Infrastructure `</w:t>
              <w:br/>
              <w:t xml:space="preserve">  -ReportPath 'C:\FileXfer\evidence\01-infrastructure.json'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Valida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Bloquea cuando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Configuration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Perfil y ausencia de secretos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Hay comodines, marcadores o configuración insegura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Infrastructure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DNS, SQL cifrado, storage, ACL y SMTP TLS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Una dependencia no es accesible o segura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PostMigration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Tablas, columnas, índices y migraciones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Falta contrato requerido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PostDeploy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HTTPS, health y readiness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Respuesta no es 200 o existe redirección inesperada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DEF"/>
            <w:tcBorders>
              <w:top w:val="single" w:sz="12" w:color="B83245"/>
              <w:left w:val="single" w:sz="12" w:color="B83245"/>
              <w:bottom w:val="single" w:sz="12" w:color="B83245"/>
              <w:right w:val="single" w:sz="12" w:color="B83245"/>
              <w:insideH w:val="single" w:sz="12" w:color="B83245"/>
              <w:insideV w:val="single" w:sz="12" w:color="B83245"/>
            </w:tcBorders>
          </w:tcPr>
          <w:p>
            <w:pPr>
              <w:spacing w:after="0"/>
            </w:pPr>
            <w:r>
              <w:rPr>
                <w:b/>
              </w:rPr>
              <w:t>NO CONTINÚE</w:t>
            </w:r>
            <w:r>
              <w:t xml:space="preserve"> a la fase siguiente si el reporte contiene </w:t>
            </w:r>
            <w:r>
              <w:rPr>
                <w:rFonts w:ascii="Consolas" w:hAnsi="Consolas"/>
                <w:color w:val="5B3112"/>
                <w:sz w:val="19"/>
              </w:rPr>
              <w:t>FAIL</w:t>
            </w:r>
            <w:r>
              <w:t>, aunque otras filas estén correctas.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Migraciones y orden de despliegue</w:t>
      </w:r>
    </w:p>
    <w:p>
      <w:pPr>
        <w:ind w:left="461" w:hanging="403"/>
      </w:pPr>
      <w:r>
        <w:rPr>
          <w:b/>
        </w:rPr>
        <w:t xml:space="preserve">1. </w:t>
      </w:r>
      <w:r>
        <w:t>Ejecute preflight de solo lectura de BuDi.</w:t>
      </w:r>
    </w:p>
    <w:p>
      <w:pPr>
        <w:ind w:left="461" w:hanging="403"/>
      </w:pPr>
      <w:r>
        <w:rPr>
          <w:b/>
        </w:rPr>
        <w:t xml:space="preserve">2. </w:t>
      </w:r>
      <w:r>
        <w:t>Cree backup consistente de FileXferDb, BuDi y storage; verifique restauración de muestra.</w:t>
      </w:r>
    </w:p>
    <w:p>
      <w:pPr>
        <w:ind w:left="461" w:hanging="403"/>
      </w:pPr>
      <w:r>
        <w:rPr>
          <w:b/>
        </w:rPr>
        <w:t xml:space="preserve">3. </w:t>
      </w:r>
      <w:r>
        <w:t>Drene nuevas cargas.</w:t>
      </w:r>
    </w:p>
    <w:p>
      <w:pPr>
        <w:ind w:left="461" w:hanging="403"/>
      </w:pPr>
      <w:r>
        <w:rPr>
          <w:b/>
        </w:rPr>
        <w:t xml:space="preserve">4. </w:t>
      </w:r>
      <w:r>
        <w:t xml:space="preserve">Ejecute </w:t>
      </w:r>
      <w:r>
        <w:rPr>
          <w:rFonts w:ascii="Consolas" w:hAnsi="Consolas"/>
          <w:color w:val="5B3112"/>
          <w:sz w:val="19"/>
        </w:rPr>
        <w:t>001_budi_transfer_archivos_hardening.sql</w:t>
      </w:r>
      <w:r>
        <w:t>.</w:t>
      </w:r>
    </w:p>
    <w:p>
      <w:pPr>
        <w:ind w:left="461" w:hanging="403"/>
      </w:pPr>
      <w:r>
        <w:rPr>
          <w:b/>
        </w:rPr>
        <w:t xml:space="preserve">5. </w:t>
      </w:r>
      <w:r>
        <w:t xml:space="preserve">Ejecute en FileXferDb </w:t>
      </w:r>
      <w:r>
        <w:rPr>
          <w:rFonts w:ascii="Consolas" w:hAnsi="Consolas"/>
          <w:color w:val="5B3112"/>
          <w:sz w:val="19"/>
        </w:rPr>
        <w:t>002</w:t>
      </w:r>
      <w:r>
        <w:t xml:space="preserve">, </w:t>
      </w:r>
      <w:r>
        <w:rPr>
          <w:rFonts w:ascii="Consolas" w:hAnsi="Consolas"/>
          <w:color w:val="5B3112"/>
          <w:sz w:val="19"/>
        </w:rPr>
        <w:t>003</w:t>
      </w:r>
      <w:r>
        <w:t xml:space="preserve">, </w:t>
      </w:r>
      <w:r>
        <w:rPr>
          <w:rFonts w:ascii="Consolas" w:hAnsi="Consolas"/>
          <w:color w:val="5B3112"/>
          <w:sz w:val="19"/>
        </w:rPr>
        <w:t>004</w:t>
      </w:r>
      <w:r>
        <w:t xml:space="preserve"> y </w:t>
      </w:r>
      <w:r>
        <w:rPr>
          <w:rFonts w:ascii="Consolas" w:hAnsi="Consolas"/>
          <w:color w:val="5B3112"/>
          <w:sz w:val="19"/>
        </w:rPr>
        <w:t>005</w:t>
      </w:r>
      <w:r>
        <w:t xml:space="preserve"> en orden.</w:t>
      </w:r>
    </w:p>
    <w:p>
      <w:pPr>
        <w:ind w:left="461" w:hanging="403"/>
      </w:pPr>
      <w:r>
        <w:rPr>
          <w:b/>
        </w:rPr>
        <w:t xml:space="preserve">6. </w:t>
      </w:r>
      <w:r>
        <w:t xml:space="preserve">Ejecute </w:t>
      </w:r>
      <w:r>
        <w:rPr>
          <w:rFonts w:ascii="Consolas" w:hAnsi="Consolas"/>
          <w:color w:val="5B3112"/>
          <w:sz w:val="19"/>
        </w:rPr>
        <w:t>PostMigration</w:t>
      </w:r>
      <w:r>
        <w:t>.</w:t>
      </w:r>
    </w:p>
    <w:p>
      <w:pPr>
        <w:ind w:left="461" w:hanging="403"/>
      </w:pPr>
      <w:r>
        <w:rPr>
          <w:b/>
        </w:rPr>
        <w:t xml:space="preserve">7. </w:t>
      </w:r>
      <w:r>
        <w:t xml:space="preserve">Instale el servidor y valide </w:t>
      </w:r>
      <w:r>
        <w:rPr>
          <w:rFonts w:ascii="Consolas" w:hAnsi="Consolas"/>
          <w:color w:val="5B3112"/>
          <w:sz w:val="19"/>
        </w:rPr>
        <w:t>/healthz</w:t>
      </w:r>
      <w:r>
        <w:t xml:space="preserve"> y </w:t>
      </w:r>
      <w:r>
        <w:rPr>
          <w:rFonts w:ascii="Consolas" w:hAnsi="Consolas"/>
          <w:color w:val="5B3112"/>
          <w:sz w:val="19"/>
        </w:rPr>
        <w:t>/readyz</w:t>
      </w:r>
      <w:r>
        <w:t>.</w:t>
      </w:r>
    </w:p>
    <w:p>
      <w:pPr>
        <w:ind w:left="461" w:hanging="403"/>
      </w:pPr>
      <w:r>
        <w:rPr>
          <w:b/>
        </w:rPr>
        <w:t xml:space="preserve">8. </w:t>
      </w:r>
      <w:r>
        <w:t>Distribuya cliente y updater firmados.</w:t>
      </w:r>
    </w:p>
    <w:p>
      <w:pPr>
        <w:ind w:left="461" w:hanging="403"/>
      </w:pPr>
      <w:r>
        <w:rPr>
          <w:b/>
        </w:rPr>
        <w:t xml:space="preserve">9. </w:t>
      </w:r>
      <w:r>
        <w:t>Ejecute pruebas de login, catálogo, carga, reparación, reanudación y descarga.</w:t>
      </w:r>
    </w:p>
    <w:p>
      <w:pPr>
        <w:ind w:left="461" w:hanging="403"/>
      </w:pPr>
      <w:r>
        <w:rPr>
          <w:b/>
        </w:rPr>
        <w:t xml:space="preserve">10. </w:t>
      </w:r>
      <w:r>
        <w:t>Abra tráfico gradualmente.</w:t>
      </w:r>
    </w:p>
    <w:p>
      <w:r>
        <w:br w:type="page"/>
      </w:r>
    </w:p>
    <w:p>
      <w:pPr>
        <w:pStyle w:val="Heading1"/>
        <w:keepNext/>
      </w:pPr>
      <w:r>
        <w:t>Ejecutar como servicio Windows</w:t>
      </w:r>
    </w:p>
    <w:p>
      <w:r>
        <w:t xml:space="preserve">El proyecto llama </w:t>
      </w:r>
      <w:r>
        <w:rPr>
          <w:rFonts w:ascii="Consolas" w:hAnsi="Consolas"/>
          <w:color w:val="5B3112"/>
          <w:sz w:val="19"/>
        </w:rPr>
        <w:t>UseWindowsService()</w:t>
      </w:r>
      <w:r>
        <w:t xml:space="preserve"> y admite ejecución como servicio cuando se publica para Windows.</w:t>
      </w:r>
    </w:p>
    <w:p>
      <w:pPr>
        <w:pStyle w:val="Heading2"/>
        <w:keepNext/>
      </w:pPr>
      <w:r>
        <w:t>Instalación controlada</w:t>
      </w:r>
    </w:p>
    <w:p>
      <w:pPr>
        <w:ind w:left="461" w:hanging="403"/>
      </w:pPr>
      <w:r>
        <w:rPr>
          <w:b/>
        </w:rPr>
        <w:t xml:space="preserve">1. </w:t>
      </w:r>
      <w:r>
        <w:t>Detenga o drene la versión anterior.</w:t>
      </w:r>
    </w:p>
    <w:p>
      <w:pPr>
        <w:ind w:left="461" w:hanging="403"/>
      </w:pPr>
      <w:r>
        <w:rPr>
          <w:b/>
        </w:rPr>
        <w:t xml:space="preserve">2. </w:t>
      </w:r>
      <w:r>
        <w:t>Copie el artefacto verificado a una carpeta nueva de versión.</w:t>
      </w:r>
    </w:p>
    <w:p>
      <w:pPr>
        <w:ind w:left="461" w:hanging="403"/>
      </w:pPr>
      <w:r>
        <w:rPr>
          <w:b/>
        </w:rPr>
        <w:t xml:space="preserve">3. </w:t>
      </w:r>
      <w:r>
        <w:t>Aplique ACL a binarios, configuración y llave de recibos.</w:t>
      </w:r>
    </w:p>
    <w:p>
      <w:pPr>
        <w:ind w:left="461" w:hanging="403"/>
      </w:pPr>
      <w:r>
        <w:rPr>
          <w:b/>
        </w:rPr>
        <w:t xml:space="preserve">4. </w:t>
      </w:r>
      <w:r>
        <w:t xml:space="preserve">Cree o actualice el servicio para ejecutar </w:t>
      </w:r>
      <w:r>
        <w:rPr>
          <w:rFonts w:ascii="Consolas" w:hAnsi="Consolas"/>
          <w:color w:val="5B3112"/>
          <w:sz w:val="19"/>
        </w:rPr>
        <w:t>FileXfer.Server.exe</w:t>
      </w:r>
      <w:r>
        <w:t>.</w:t>
      </w:r>
    </w:p>
    <w:p>
      <w:pPr>
        <w:ind w:left="461" w:hanging="403"/>
      </w:pPr>
      <w:r>
        <w:rPr>
          <w:b/>
        </w:rPr>
        <w:t xml:space="preserve">5. </w:t>
      </w:r>
      <w:r>
        <w:t>Configure variables de entorno en el contexto del servicio.</w:t>
      </w:r>
    </w:p>
    <w:p>
      <w:pPr>
        <w:ind w:left="461" w:hanging="403"/>
      </w:pPr>
      <w:r>
        <w:rPr>
          <w:b/>
        </w:rPr>
        <w:t xml:space="preserve">6. </w:t>
      </w:r>
      <w:r>
        <w:t>Inicie el servicio.</w:t>
      </w:r>
    </w:p>
    <w:p>
      <w:pPr>
        <w:ind w:left="461" w:hanging="403"/>
      </w:pPr>
      <w:r>
        <w:rPr>
          <w:b/>
        </w:rPr>
        <w:t xml:space="preserve">7. </w:t>
      </w:r>
      <w:r>
        <w:t xml:space="preserve">Confirme evento de arranque, </w:t>
      </w:r>
      <w:r>
        <w:rPr>
          <w:rFonts w:ascii="Consolas" w:hAnsi="Consolas"/>
          <w:color w:val="5B3112"/>
          <w:sz w:val="19"/>
        </w:rPr>
        <w:t>/healthz</w:t>
      </w:r>
      <w:r>
        <w:t xml:space="preserve"> y </w:t>
      </w:r>
      <w:r>
        <w:rPr>
          <w:rFonts w:ascii="Consolas" w:hAnsi="Consolas"/>
          <w:color w:val="5B3112"/>
          <w:sz w:val="19"/>
        </w:rPr>
        <w:t>/readyz</w:t>
      </w:r>
      <w:r>
        <w:t>.</w:t>
      </w:r>
    </w:p>
    <w:p>
      <w:pPr>
        <w:ind w:left="461" w:hanging="403"/>
      </w:pPr>
      <w:r>
        <w:rPr>
          <w:b/>
        </w:rPr>
        <w:t xml:space="preserve">8. </w:t>
      </w:r>
      <w:r>
        <w:t>No elimine la versión anterior hasta cerrar la ventana.</w:t>
      </w:r>
    </w:p>
    <w:p>
      <w:pPr>
        <w:pStyle w:val="Heading2"/>
        <w:keepNext/>
      </w:pPr>
      <w:r>
        <w:t>Alternativa IIS</w:t>
      </w:r>
    </w:p>
    <w:p>
      <w:r>
        <w:t xml:space="preserve">El paquete incluye </w:t>
      </w:r>
      <w:r>
        <w:rPr>
          <w:rFonts w:ascii="Consolas" w:hAnsi="Consolas"/>
          <w:color w:val="5B3112"/>
          <w:sz w:val="19"/>
        </w:rPr>
        <w:t>web.config</w:t>
      </w:r>
      <w:r>
        <w:t xml:space="preserve"> para ASP.NET Core Module V2 en modo in-process. Instale Hosting Bundle, configure sitio HTTPS y Application Pool sin código administrado. No opere simultáneamente IIS y servicio Windows sobre los mismos puertos.</w:t>
      </w:r>
    </w:p>
    <w:p>
      <w:r>
        <w:br w:type="page"/>
      </w:r>
    </w:p>
    <w:p>
      <w:pPr>
        <w:pStyle w:val="Heading1"/>
        <w:keepNext/>
      </w:pPr>
      <w:r>
        <w:t>Validación funcional posterior</w:t>
      </w:r>
    </w:p>
    <w:p>
      <w:pPr>
        <w:pStyle w:val="Heading2"/>
        <w:keepNext/>
      </w:pPr>
      <w:r>
        <w:t>Prueba mínima obligatoria</w:t>
      </w:r>
    </w:p>
    <w:p>
      <w:pPr>
        <w:pStyle w:val="ListBullet"/>
      </w:pPr>
      <w:r>
        <w:t>Login cliente con e.firma válida y rechazo de una inválida.</w:t>
      </w:r>
    </w:p>
    <w:p>
      <w:pPr>
        <w:pStyle w:val="ListBullet"/>
      </w:pPr>
      <w:r>
        <w:t>Login del Dashboard con rol correcto.</w:t>
      </w:r>
    </w:p>
    <w:p>
      <w:pPr>
        <w:pStyle w:val="ListBullet"/>
      </w:pPr>
      <w:r>
        <w:t>Consulta de años, auditorías, oficios y requerimientos.</w:t>
      </w:r>
    </w:p>
    <w:p>
      <w:pPr>
        <w:pStyle w:val="ListBullet"/>
      </w:pPr>
      <w:r>
        <w:t>PDF válido aceptado.</w:t>
      </w:r>
    </w:p>
    <w:p>
      <w:pPr>
        <w:pStyle w:val="ListBullet"/>
      </w:pPr>
      <w:r>
        <w:t>PDF cifrado rechazado.</w:t>
      </w:r>
    </w:p>
    <w:p>
      <w:pPr>
        <w:pStyle w:val="ListBullet"/>
      </w:pPr>
      <w:r>
        <w:t>PDF reparable reparado y revalidado.</w:t>
      </w:r>
    </w:p>
    <w:p>
      <w:pPr>
        <w:pStyle w:val="ListBullet"/>
      </w:pPr>
      <w:r>
        <w:t>PDF con contenido activo rechazado.</w:t>
      </w:r>
    </w:p>
    <w:p>
      <w:pPr>
        <w:pStyle w:val="ListBullet"/>
      </w:pPr>
      <w:r>
        <w:t>Interrupción y reanudación desde offset mayor que cero.</w:t>
      </w:r>
    </w:p>
    <w:p>
      <w:pPr>
        <w:pStyle w:val="ListBullet"/>
      </w:pPr>
      <w:r>
        <w:t>Una sola fila de negocio y un solo recibo después del reintento.</w:t>
      </w:r>
    </w:p>
    <w:p>
      <w:pPr>
        <w:pStyle w:val="ListBullet"/>
      </w:pPr>
      <w:r>
        <w:t>Descarga parcial con HTTP 206 y SHA-256 final correcto.</w:t>
      </w:r>
    </w:p>
    <w:p>
      <w:pPr>
        <w:pStyle w:val="ListBullet"/>
      </w:pPr>
      <w:r>
        <w:t>Cambio de política con versión y motivo.</w:t>
      </w:r>
    </w:p>
    <w:p>
      <w:r>
        <w:br w:type="page"/>
      </w:r>
    </w:p>
    <w:p>
      <w:pPr>
        <w:pStyle w:val="Heading1"/>
        <w:keepNext/>
      </w:pPr>
      <w:r>
        <w:t>Operación diaria</w:t>
      </w:r>
    </w:p>
    <w:p>
      <w:pPr>
        <w:pStyle w:val="Heading2"/>
        <w:keepNext/>
      </w:pPr>
      <w:r>
        <w:t>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Correcto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Interpretación de falla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/healthz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Proceso no responde o no está vivo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/readyz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SQL, BuDi, storage o esquema no están listos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/admin/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Login e.firma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Estáticos, API o autorización fallaron</w:t>
            </w:r>
          </w:p>
        </w:tc>
      </w:tr>
    </w:tbl>
    <w:p>
      <w:pPr>
        <w:pStyle w:val="Heading2"/>
        <w:keepNext/>
      </w:pPr>
      <w:r>
        <w:t>Métricas y trazas</w:t>
      </w:r>
    </w:p>
    <w:p>
      <w:pPr>
        <w:pStyle w:val="ListBullet"/>
      </w:pPr>
      <w:r>
        <w:rPr>
          <w:rFonts w:ascii="Consolas" w:hAnsi="Consolas"/>
          <w:color w:val="5B3112"/>
          <w:sz w:val="19"/>
        </w:rPr>
        <w:t>ActivitySource</w:t>
      </w:r>
      <w:r>
        <w:t xml:space="preserve">: </w:t>
      </w:r>
      <w:r>
        <w:rPr>
          <w:rFonts w:ascii="Consolas" w:hAnsi="Consolas"/>
          <w:color w:val="5B3112"/>
          <w:sz w:val="19"/>
        </w:rPr>
        <w:t>FileXfer.Server.Transfer</w:t>
      </w:r>
      <w:r>
        <w:t>.</w:t>
      </w:r>
    </w:p>
    <w:p>
      <w:pPr>
        <w:pStyle w:val="ListBullet"/>
      </w:pPr>
      <w:r>
        <w:rPr>
          <w:rFonts w:ascii="Consolas" w:hAnsi="Consolas"/>
          <w:color w:val="5B3112"/>
          <w:sz w:val="19"/>
        </w:rPr>
        <w:t>Meter</w:t>
      </w:r>
      <w:r>
        <w:t xml:space="preserve">: </w:t>
      </w:r>
      <w:r>
        <w:rPr>
          <w:rFonts w:ascii="Consolas" w:hAnsi="Consolas"/>
          <w:color w:val="5B3112"/>
          <w:sz w:val="19"/>
        </w:rPr>
        <w:t>FileXfer.Server</w:t>
      </w:r>
      <w:r>
        <w:t>.</w:t>
      </w:r>
    </w:p>
    <w:p>
      <w:pPr>
        <w:pStyle w:val="ListBullet"/>
      </w:pPr>
      <w:r>
        <w:t>Monitoree tasa de éxito, fallas, latencia p95/p99, espacio, reinicios, outbox, dead-letter, reanudaciones, omisiones y recibos.</w:t>
      </w:r>
    </w:p>
    <w:p>
      <w:pPr>
        <w:pStyle w:val="ListBullet"/>
      </w:pPr>
      <w:r>
        <w:t xml:space="preserve">Correlacione solicitudes con </w:t>
      </w:r>
      <w:r>
        <w:rPr>
          <w:rFonts w:ascii="Consolas" w:hAnsi="Consolas"/>
          <w:color w:val="5B3112"/>
          <w:sz w:val="19"/>
        </w:rPr>
        <w:t>TraceId</w:t>
      </w:r>
      <w:r>
        <w:t>; no dependa de búsquedas por hora únicamente.</w:t>
      </w:r>
    </w:p>
    <w:p>
      <w:pPr>
        <w:pStyle w:val="Heading2"/>
        <w:keepNext/>
      </w:pPr>
      <w:r>
        <w:t>Retención recomendada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83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Retención base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Parciales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72 horas operativas; ajuste entre 1 y 168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Outbox entregado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30 días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Dead-letter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90 días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Logs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90 días en línea y 1 año archivado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Auditoría de seguridad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1 año en línea y 7 años archivada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Archivos/recibos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7 años como base, sujeto a Jurídico/Archivo</w:t>
            </w:r>
          </w:p>
        </w:tc>
      </w:tr>
    </w:tbl>
    <w:p>
      <w:r>
        <w:t>No purgue archivos completados automáticamente hasta contar con clasificación, legal hold, cuarentena, doble aprobación y acta.</w:t>
      </w:r>
    </w:p>
    <w:p>
      <w:r>
        <w:br w:type="page"/>
      </w:r>
    </w:p>
    <w:p>
      <w:pPr>
        <w:pStyle w:val="Heading1"/>
        <w:keepNext/>
      </w:pPr>
      <w:r>
        <w:t>Diagnóstico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Síntoma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Causa frecuente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 xml:space="preserve">Navegador rechaza </w:t>
            </w:r>
            <w:r>
              <w:rPr>
                <w:rFonts w:ascii="Consolas" w:hAnsi="Consolas"/>
                <w:color w:val="5B3112"/>
                <w:sz w:val="16"/>
              </w:rPr>
              <w:t>0.0.0.0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Se usó dirección de escucha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Use localhost, IP o DNS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health 200 y ready 503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Dependencia no disponible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Revise detalle interno, SQL, storage y esquema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Login falla por OCSP/CRL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Allowlist o red incompleta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Autorice hosts SAT correctos; no desactive validación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Archivo llega pero no aparece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Falla de catálogo BuDi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Use recuperación idempotente y TraceId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Recibo inválido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Llave cambió o datos fueron alterados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Detenga publicación y revise raíz de confianza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Cargas grandes fallan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Límite global/política, timeout o espacio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0</w:t>
            </w:r>
            <w:r>
              <w:rPr>
                <w:sz w:val="16"/>
              </w:rPr>
              <w:t xml:space="preserve"> quita tope funcional; mantenga timeout de inactividad y capacidad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No reanuda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Parcial venció, archivo cambió o identidad/contexto distinto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Inicie carga nueva solo después de confirmar causa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Alertas no salen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SMTP/TLS o outbox/dead-letter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Revise configuración y reintentos; no revierta negocio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Rollback</w:t>
      </w:r>
    </w:p>
    <w:p>
      <w:pPr>
        <w:ind w:left="461" w:hanging="403"/>
      </w:pPr>
      <w:r>
        <w:rPr>
          <w:b/>
        </w:rPr>
        <w:t xml:space="preserve">1. </w:t>
      </w:r>
      <w:r>
        <w:t>Detenga tráfico y conserve logs y reportes.</w:t>
      </w:r>
    </w:p>
    <w:p>
      <w:pPr>
        <w:ind w:left="461" w:hanging="403"/>
      </w:pPr>
      <w:r>
        <w:rPr>
          <w:b/>
        </w:rPr>
        <w:t xml:space="preserve">2. </w:t>
      </w:r>
      <w:r>
        <w:t>Restaure primero el cliente anterior cuando sea necesario y después binarios de servidor/updater compatibles.</w:t>
      </w:r>
    </w:p>
    <w:p>
      <w:pPr>
        <w:ind w:left="461" w:hanging="403"/>
      </w:pPr>
      <w:r>
        <w:rPr>
          <w:b/>
        </w:rPr>
        <w:t xml:space="preserve">3. </w:t>
      </w:r>
      <w:r>
        <w:t>Restaure FileXferDb desde backup cuando la migración deba revertirse.</w:t>
      </w:r>
    </w:p>
    <w:p>
      <w:pPr>
        <w:ind w:left="461" w:hanging="403"/>
      </w:pPr>
      <w:r>
        <w:rPr>
          <w:b/>
        </w:rPr>
        <w:t xml:space="preserve">4. </w:t>
      </w:r>
      <w:r>
        <w:t>No elimine columnas BuDi en un rollback ordinario; son compatibles hacia atrás.</w:t>
      </w:r>
    </w:p>
    <w:p>
      <w:pPr>
        <w:ind w:left="461" w:hanging="403"/>
      </w:pPr>
      <w:r>
        <w:rPr>
          <w:b/>
        </w:rPr>
        <w:t xml:space="preserve">5. </w:t>
      </w:r>
      <w:r>
        <w:t>No borre el storage. Reconcile catálogo y archivos antes de limpiar.</w:t>
      </w:r>
    </w:p>
    <w:p>
      <w:pPr>
        <w:ind w:left="461" w:hanging="403"/>
      </w:pPr>
      <w:r>
        <w:rPr>
          <w:b/>
        </w:rPr>
        <w:t xml:space="preserve">6. </w:t>
      </w:r>
      <w:r>
        <w:t>Valide login, consulta y descarga con la versión anterior.</w:t>
      </w:r>
    </w:p>
    <w:p>
      <w:pPr>
        <w:ind w:left="461" w:hanging="403"/>
      </w:pPr>
      <w:r>
        <w:rPr>
          <w:b/>
        </w:rPr>
        <w:t xml:space="preserve">7. </w:t>
      </w:r>
      <w:r>
        <w:t>Reabra tráfico gradualmente.</w:t>
      </w:r>
    </w:p>
    <w:p>
      <w:r>
        <w:br w:type="page"/>
      </w:r>
    </w:p>
    <w:p>
      <w:pPr>
        <w:pStyle w:val="Heading1"/>
        <w:keepNext/>
      </w:pPr>
      <w:r>
        <w:t>Evidencia de cierre de ventana</w:t>
      </w:r>
    </w:p>
    <w:p>
      <w:pPr>
        <w:pStyle w:val="ListBullet"/>
      </w:pPr>
      <w:r>
        <w:t>Commit y versión desplegada.</w:t>
      </w:r>
    </w:p>
    <w:p>
      <w:pPr>
        <w:pStyle w:val="ListBullet"/>
      </w:pPr>
      <w:r>
        <w:t>Hashes y verificación del manifiesto.</w:t>
      </w:r>
    </w:p>
    <w:p>
      <w:pPr>
        <w:pStyle w:val="ListBullet"/>
      </w:pPr>
      <w:r>
        <w:t xml:space="preserve">Reportes </w:t>
      </w:r>
      <w:r>
        <w:rPr>
          <w:rFonts w:ascii="Consolas" w:hAnsi="Consolas"/>
          <w:color w:val="5B3112"/>
          <w:sz w:val="19"/>
        </w:rPr>
        <w:t>Infrastructure</w:t>
      </w:r>
      <w:r>
        <w:t xml:space="preserve">, </w:t>
      </w:r>
      <w:r>
        <w:rPr>
          <w:rFonts w:ascii="Consolas" w:hAnsi="Consolas"/>
          <w:color w:val="5B3112"/>
          <w:sz w:val="19"/>
        </w:rPr>
        <w:t>PostMigration</w:t>
      </w:r>
      <w:r>
        <w:t xml:space="preserve"> y </w:t>
      </w:r>
      <w:r>
        <w:rPr>
          <w:rFonts w:ascii="Consolas" w:hAnsi="Consolas"/>
          <w:color w:val="5B3112"/>
          <w:sz w:val="19"/>
        </w:rPr>
        <w:t>PostDeploy</w:t>
      </w:r>
      <w:r>
        <w:t>.</w:t>
      </w:r>
    </w:p>
    <w:p>
      <w:pPr>
        <w:pStyle w:val="ListBullet"/>
      </w:pPr>
      <w:r>
        <w:t>Backup y prueba de restauración.</w:t>
      </w:r>
    </w:p>
    <w:p>
      <w:pPr>
        <w:pStyle w:val="ListBullet"/>
      </w:pPr>
      <w:r>
        <w:t>Resultado de smoke tests.</w:t>
      </w:r>
    </w:p>
    <w:p>
      <w:pPr>
        <w:pStyle w:val="ListBullet"/>
      </w:pPr>
      <w:r>
        <w:t>Capturas de health/readiness.</w:t>
      </w:r>
    </w:p>
    <w:p>
      <w:pPr>
        <w:pStyle w:val="ListBullet"/>
      </w:pPr>
      <w:r>
        <w:t>Resultado de carga válida, rechazos y reanudación.</w:t>
      </w:r>
    </w:p>
    <w:p>
      <w:pPr>
        <w:pStyle w:val="ListBullet"/>
      </w:pPr>
      <w:r>
        <w:t>TraceId y ReceiptId de la prueba controlada.</w:t>
      </w:r>
    </w:p>
    <w:p>
      <w:pPr>
        <w:pStyle w:val="ListBullet"/>
      </w:pPr>
      <w:r>
        <w:t>Decisión de abrir tráfico o ejecutar rollback.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ook w:firstColumn="1" w:firstRow="1" w:lastColumn="0" w:lastRow="0" w:noHBand="0" w:noVBand="1" w:val="04A0"/>
    </w:tblPr>
    <w:tblGrid>
      <w:gridCol w:w="5076"/>
      <w:gridCol w:w="5076"/>
    </w:tblGrid>
    <w:tr>
      <w:tc>
        <w:tcPr>
          <w:tcW w:type="dxa" w:w="5076"/>
        </w:tcPr>
        <w:p>
          <w:r>
            <w:rPr>
              <w:sz w:val="16"/>
            </w:rPr>
            <w:t>Uso institucional  ·  Documentación controlada</w:t>
          </w:r>
        </w:p>
      </w:tc>
      <w:tc>
        <w:tcPr>
          <w:tcW w:type="dxa" w:w="5076"/>
        </w:tcPr>
        <w:p>
          <w:pPr>
            <w:jc w:val="right"/>
          </w:pPr>
          <w:r>
            <w:rPr>
              <w:sz w:val="18"/>
            </w:rPr>
            <w:t xml:space="preserve">Página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1944"/>
      <w:gridCol w:w="8208"/>
    </w:tblGrid>
    <w:tr>
      <w:tc>
        <w:tcPr>
          <w:tcW w:type="dxa" w:w="5076"/>
        </w:tcPr>
        <w:p>
          <w:r>
            <w:drawing>
              <wp:inline xmlns:a="http://schemas.openxmlformats.org/drawingml/2006/main" xmlns:pic="http://schemas.openxmlformats.org/drawingml/2006/picture">
                <wp:extent cx="1143000" cy="234412"/>
                <wp:docPr id="1" name="Picture 1" descr="Logotipo de la Auditoría Superior del Estado de Sinaloa" title="Logotipo de la Auditoría Superior del Estado de Sinalo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s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2344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76"/>
        </w:tcPr>
        <w:p>
          <w:pPr>
            <w:jc w:val="right"/>
          </w:pPr>
          <w:r>
            <w:rPr>
              <w:rFonts w:ascii="Segoe UI" w:hAnsi="Segoe UI"/>
              <w:b/>
              <w:color w:val="5B3112"/>
              <w:sz w:val="17"/>
            </w:rPr>
            <w:t>Transfer ASE 2027  ·  FileXfer.Server.Full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Segoe UI" w:hAnsi="Segoe UI"/>
      <w:color w:val="191D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operación — FileXfer.Server.Full</dc:title>
  <dc:subject>Ecosistema Transfer ASE 2027</dc:subject>
  <dc:creator>Auditoría Superior del Estado de Sinaloa</dc:creator>
  <cp:keywords/>
  <dc:description>Documento generado desde fuentes versionadas del repositorio TransferASE2027.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