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918895"/>
            <wp:docPr id="1" name="Picture 1" descr="Logotipo de la Auditoría Superior del Estado de Sinaloa" title="Logotipo de la Auditoría Superior del Estado de Sinalo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918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Manual de usuario</w:t>
      </w:r>
    </w:p>
    <w:p>
      <w:pPr>
        <w:pStyle w:val="Subtitle"/>
        <w:jc w:val="center"/>
      </w:pPr>
      <w:r>
        <w:rPr>
          <w:b/>
          <w:color w:val="5B3112"/>
        </w:rPr>
        <w:t>TransferClienteASE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EDC"/>
            <w:tcBorders>
              <w:top w:val="single" w:sz="10" w:color="B98A36"/>
              <w:left w:val="single" w:sz="10" w:color="B98A36"/>
              <w:bottom w:val="single" w:sz="10" w:color="B98A36"/>
              <w:right w:val="single" w:sz="10" w:color="B98A36"/>
              <w:insideH w:val="single" w:sz="10" w:color="B98A36"/>
              <w:insideV w:val="single" w:sz="10" w:color="B98A36"/>
            </w:tcBorders>
          </w:tcPr>
          <w:p>
            <w:pPr>
              <w:jc w:val="center"/>
            </w:pPr>
            <w:r>
              <w:rPr>
                <w:b/>
                <w:color w:val="5B3112"/>
                <w:sz w:val="26"/>
              </w:rPr>
              <w:t>Guía gráfica, detallada y operable paso a paso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Personas usuarias y enlaces de entes fiscalizados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Versión documental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1.0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22 de octubre de 2026</w:t>
            </w:r>
          </w:p>
        </w:tc>
      </w:tr>
      <w:tr>
        <w:tc>
          <w:tcPr>
            <w:tcW w:type="dxa" w:w="5083"/>
            <w:shd w:fill="F4F6F8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508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vAlign w:val="center"/>
          </w:tcPr>
          <w:p>
            <w:r>
              <w:t>Uso institucional</w:t>
            </w:r>
          </w:p>
        </w:tc>
      </w:tr>
    </w:tbl>
    <w:p>
      <w:pPr>
        <w:jc w:val="center"/>
      </w:pPr>
      <w:r>
        <w:rPr>
          <w:i/>
          <w:color w:val="B83245"/>
          <w:sz w:val="20"/>
        </w:rPr>
        <w:t>Regla de oro: no avance si la pantalla no confirma el paso anterior.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Este índice sigue el orden operativo del manual. Los títulos también forman la navegación del documento.</w:t>
      </w:r>
    </w:p>
    <w:p>
      <w:pPr>
        <w:ind w:left="360" w:hanging="360"/>
      </w:pPr>
      <w:r>
        <w:rPr>
          <w:b/>
        </w:rPr>
        <w:t xml:space="preserve">1. </w:t>
      </w:r>
      <w:r>
        <w:rPr>
          <w:b/>
        </w:rPr>
        <w:t>Antes de comenzar</w:t>
      </w:r>
    </w:p>
    <w:p>
      <w:pPr>
        <w:pStyle w:val="ListBullet2"/>
      </w:pPr>
      <w:r>
        <w:t>Lo que debe tener a la mano</w:t>
      </w:r>
    </w:p>
    <w:p>
      <w:pPr>
        <w:pStyle w:val="ListBullet2"/>
      </w:pPr>
      <w:r>
        <w:t>Mapa rápido del proceso</w:t>
      </w:r>
    </w:p>
    <w:p>
      <w:pPr>
        <w:ind w:left="360" w:hanging="360"/>
      </w:pPr>
      <w:r>
        <w:rPr>
          <w:b/>
        </w:rPr>
        <w:t xml:space="preserve">2. </w:t>
      </w:r>
      <w:r>
        <w:rPr>
          <w:b/>
        </w:rPr>
        <w:t>Iniciar sesión con e.firma</w:t>
      </w:r>
    </w:p>
    <w:p>
      <w:pPr>
        <w:pStyle w:val="ListBullet2"/>
      </w:pPr>
      <w:r>
        <w:t>Identificar cada campo</w:t>
      </w:r>
    </w:p>
    <w:p>
      <w:pPr>
        <w:pStyle w:val="ListBullet2"/>
      </w:pPr>
      <w:r>
        <w:t>Resultado esperado</w:t>
      </w:r>
    </w:p>
    <w:p>
      <w:pPr>
        <w:pStyle w:val="ListBullet2"/>
      </w:pPr>
      <w:r>
        <w:t>Si no puede iniciar sesión</w:t>
      </w:r>
    </w:p>
    <w:p>
      <w:pPr>
        <w:ind w:left="360" w:hanging="360"/>
      </w:pPr>
      <w:r>
        <w:rPr>
          <w:b/>
        </w:rPr>
        <w:t xml:space="preserve">3. </w:t>
      </w:r>
      <w:r>
        <w:rPr>
          <w:b/>
        </w:rPr>
        <w:t>Elegir el requerimiento correcto</w:t>
      </w:r>
    </w:p>
    <w:p>
      <w:pPr>
        <w:pStyle w:val="ListBullet2"/>
      </w:pPr>
      <w:r>
        <w:t>Orden obligatorio de selección</w:t>
      </w:r>
    </w:p>
    <w:p>
      <w:pPr>
        <w:pStyle w:val="ListBullet2"/>
      </w:pPr>
      <w:r>
        <w:t>Cómo saber si eligió bien</w:t>
      </w:r>
    </w:p>
    <w:p>
      <w:pPr>
        <w:pStyle w:val="ListBullet2"/>
      </w:pPr>
      <w:r>
        <w:t>Buscar y refrescar</w:t>
      </w:r>
    </w:p>
    <w:p>
      <w:pPr>
        <w:ind w:left="360" w:hanging="360"/>
      </w:pPr>
      <w:r>
        <w:rPr>
          <w:b/>
        </w:rPr>
        <w:t xml:space="preserve">4. </w:t>
      </w:r>
      <w:r>
        <w:rPr>
          <w:b/>
        </w:rPr>
        <w:t>Preparar los archivos</w:t>
      </w:r>
    </w:p>
    <w:p>
      <w:pPr>
        <w:pStyle w:val="ListBullet2"/>
      </w:pPr>
      <w:r>
        <w:t>Agregar archivos individuales</w:t>
      </w:r>
    </w:p>
    <w:p>
      <w:pPr>
        <w:pStyle w:val="ListBullet2"/>
      </w:pPr>
      <w:r>
        <w:t>Agregar una carpeta</w:t>
      </w:r>
    </w:p>
    <w:p>
      <w:pPr>
        <w:pStyle w:val="ListBullet2"/>
      </w:pPr>
      <w:r>
        <w:t>Retirar algo de la lista</w:t>
      </w:r>
    </w:p>
    <w:p>
      <w:pPr>
        <w:pStyle w:val="ListBullet2"/>
      </w:pPr>
      <w:r>
        <w:t>Archivos sin límite máximo</w:t>
      </w:r>
    </w:p>
    <w:p>
      <w:pPr>
        <w:ind w:left="360" w:hanging="360"/>
      </w:pPr>
      <w:r>
        <w:rPr>
          <w:b/>
        </w:rPr>
        <w:t xml:space="preserve">5. </w:t>
      </w:r>
      <w:r>
        <w:rPr>
          <w:b/>
        </w:rPr>
        <w:t>Comprender la verificación de archivos</w:t>
      </w:r>
    </w:p>
    <w:p>
      <w:pPr>
        <w:pStyle w:val="ListBullet2"/>
      </w:pPr>
      <w:r>
        <w:t>Qué se revisa</w:t>
      </w:r>
    </w:p>
    <w:p>
      <w:pPr>
        <w:pStyle w:val="ListBullet2"/>
      </w:pPr>
      <w:r>
        <w:t>Resultado de un PDF</w:t>
      </w:r>
    </w:p>
    <w:p>
      <w:pPr>
        <w:pStyle w:val="ListBullet2"/>
      </w:pPr>
      <w:r>
        <w:t>Verificación omitida por política</w:t>
      </w:r>
    </w:p>
    <w:p>
      <w:pPr>
        <w:ind w:left="360" w:hanging="360"/>
      </w:pPr>
      <w:r>
        <w:rPr>
          <w:b/>
        </w:rPr>
        <w:t xml:space="preserve">6. </w:t>
      </w:r>
      <w:r>
        <w:rPr>
          <w:b/>
        </w:rPr>
        <w:t>Enviar y leer el progreso</w:t>
      </w:r>
    </w:p>
    <w:p>
      <w:pPr>
        <w:pStyle w:val="ListBullet2"/>
      </w:pPr>
      <w:r>
        <w:t>Secuencia visible normal</w:t>
      </w:r>
    </w:p>
    <w:p>
      <w:pPr>
        <w:pStyle w:val="ListBullet2"/>
      </w:pPr>
      <w:r>
        <w:t>Cuándo terminó realmente</w:t>
      </w:r>
    </w:p>
    <w:p>
      <w:pPr>
        <w:ind w:left="360" w:hanging="360"/>
      </w:pPr>
      <w:r>
        <w:rPr>
          <w:b/>
        </w:rPr>
        <w:t xml:space="preserve">7. </w:t>
      </w:r>
      <w:r>
        <w:rPr>
          <w:b/>
        </w:rPr>
        <w:t>Reanudar después de una interrupción</w:t>
      </w:r>
    </w:p>
    <w:p>
      <w:pPr>
        <w:pStyle w:val="ListBullet2"/>
      </w:pPr>
      <w:r>
        <w:t>Qué hacer después de reiniciar un equipo</w:t>
      </w:r>
    </w:p>
    <w:p>
      <w:pPr>
        <w:pStyle w:val="ListBullet2"/>
      </w:pPr>
      <w:r>
        <w:t>Condiciones para reanudar</w:t>
      </w:r>
    </w:p>
    <w:p>
      <w:pPr>
        <w:ind w:left="360" w:hanging="360"/>
      </w:pPr>
      <w:r>
        <w:rPr>
          <w:b/>
        </w:rPr>
        <w:t xml:space="preserve">8. </w:t>
      </w:r>
      <w:r>
        <w:rPr>
          <w:b/>
        </w:rPr>
        <w:t>Ver y descargar documentos</w:t>
      </w:r>
    </w:p>
    <w:p>
      <w:pPr>
        <w:pStyle w:val="ListBullet2"/>
      </w:pPr>
      <w:r>
        <w:t>Consultar</w:t>
      </w:r>
    </w:p>
    <w:p>
      <w:pPr>
        <w:pStyle w:val="ListBullet2"/>
      </w:pPr>
      <w:r>
        <w:t>Descargar</w:t>
      </w:r>
    </w:p>
    <w:p>
      <w:pPr>
        <w:ind w:left="360" w:hanging="360"/>
      </w:pPr>
      <w:r>
        <w:rPr>
          <w:b/>
        </w:rPr>
        <w:t xml:space="preserve">9. </w:t>
      </w:r>
      <w:r>
        <w:rPr>
          <w:b/>
        </w:rPr>
        <w:t>Actualizar el cliente</w:t>
      </w:r>
    </w:p>
    <w:p>
      <w:pPr>
        <w:ind w:left="360" w:hanging="360"/>
      </w:pPr>
      <w:r>
        <w:rPr>
          <w:b/>
        </w:rPr>
        <w:t xml:space="preserve">10. </w:t>
      </w:r>
      <w:r>
        <w:rPr>
          <w:b/>
        </w:rPr>
        <w:t>Solución rápida de problemas</w:t>
      </w:r>
    </w:p>
    <w:p>
      <w:pPr>
        <w:ind w:left="360" w:hanging="360"/>
      </w:pPr>
      <w:r>
        <w:rPr>
          <w:b/>
        </w:rPr>
        <w:t xml:space="preserve">11. </w:t>
      </w:r>
      <w:r>
        <w:rPr>
          <w:b/>
        </w:rPr>
        <w:t>Lista de verificación final</w:t>
      </w:r>
    </w:p>
    <w:p>
      <w:pPr>
        <w:ind w:left="360" w:hanging="360"/>
      </w:pPr>
      <w:r>
        <w:rPr>
          <w:b/>
        </w:rPr>
        <w:t xml:space="preserve">12. </w:t>
      </w:r>
      <w:r>
        <w:rPr>
          <w:b/>
        </w:rPr>
        <w:t>Información que debe enviar a soporte</w:t>
      </w:r>
    </w:p>
    <w:p>
      <w:r>
        <w:br w:type="page"/>
      </w:r>
    </w:p>
    <w:p>
      <w:pPr>
        <w:pStyle w:val="Heading1"/>
        <w:keepNext/>
      </w:pPr>
      <w:r>
        <w:t>Antes de comenzar</w:t>
      </w:r>
    </w:p>
    <w:p>
      <w:r>
        <w:t>Este manual explica cómo entrar al cliente Transfer ASE, localizar un requerimiento, seleccionar archivos, verificar su integridad, enviarlos, reanudar una carga interrumpida y consultar o descargar documentos registrados.</w:t>
      </w:r>
    </w:p>
    <w:p>
      <w:pPr>
        <w:pStyle w:val="Heading2"/>
        <w:keepNext/>
      </w:pPr>
      <w:r>
        <w:t>Lo que debe tener a la mano</w:t>
      </w:r>
    </w:p>
    <w:p>
      <w:pPr>
        <w:pStyle w:val="ListBullet"/>
      </w:pPr>
      <w:r>
        <w:t>Su RFC exactamente como aparece en la e.firma.</w:t>
      </w:r>
    </w:p>
    <w:p>
      <w:pPr>
        <w:pStyle w:val="ListBullet"/>
      </w:pPr>
      <w:r>
        <w:t xml:space="preserve">El archivo de certificado con extensión </w:t>
      </w:r>
      <w:r>
        <w:rPr>
          <w:rFonts w:ascii="Consolas" w:hAnsi="Consolas"/>
          <w:color w:val="5B3112"/>
          <w:sz w:val="19"/>
        </w:rPr>
        <w:t>.cer</w:t>
      </w:r>
      <w:r>
        <w:t>.</w:t>
      </w:r>
    </w:p>
    <w:p>
      <w:pPr>
        <w:pStyle w:val="ListBullet"/>
      </w:pPr>
      <w:r>
        <w:t xml:space="preserve">La llave privada correspondiente con extensión </w:t>
      </w:r>
      <w:r>
        <w:rPr>
          <w:rFonts w:ascii="Consolas" w:hAnsi="Consolas"/>
          <w:color w:val="5B3112"/>
          <w:sz w:val="19"/>
        </w:rPr>
        <w:t>.key</w:t>
      </w:r>
      <w:r>
        <w:t>.</w:t>
      </w:r>
    </w:p>
    <w:p>
      <w:pPr>
        <w:pStyle w:val="ListBullet"/>
      </w:pPr>
      <w:r>
        <w:t>La contraseña de la llave privada.</w:t>
      </w:r>
    </w:p>
    <w:p>
      <w:pPr>
        <w:pStyle w:val="ListBullet"/>
      </w:pPr>
      <w:r>
        <w:t>Conexión estable con el servidor de Transfer ASE.</w:t>
      </w:r>
    </w:p>
    <w:p>
      <w:pPr>
        <w:pStyle w:val="ListBullet"/>
      </w:pPr>
      <w:r>
        <w:t>Permiso para consultar el ente, auditoría, oficio y requerimiento que atenderá.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el cliente no solicita código MFA en desarrollo ni en producción. La autenticación es exclusivamente con e.firma. Nunca envíe por correo o chat la llave </w:t>
            </w:r>
            <w:r>
              <w:rPr>
                <w:rFonts w:ascii="Consolas" w:hAnsi="Consolas"/>
                <w:color w:val="5B3112"/>
                <w:sz w:val="19"/>
              </w:rPr>
              <w:t>.key</w:t>
            </w:r>
            <w:r>
              <w:t xml:space="preserve"> ni su contraseña.</w:t>
            </w:r>
          </w:p>
        </w:tc>
      </w:tr>
    </w:tbl>
    <w:p>
      <w:pPr>
        <w:pStyle w:val="Heading2"/>
        <w:keepNext/>
      </w:pPr>
      <w:r>
        <w:t>Mapa rápido del proceso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34594"/>
            <wp:docPr id="2" name="Picture 2" descr="Diagrama del flujo seguro de carga" title="Diagrama del flujo seguro de car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carg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1. La carga no termina al enviar bytes; concluye cuando el servidor confirma el catálogo y emite el recibo digital.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Lo que hace usted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Lo que debe confirmar la pantalla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Acceso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Proporciona RFC, CER, KEY y contraseña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Nombre, RFC y sesión iniciada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Contexto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Selecciona año, ente, auditoría, acto, oficio y requerimiento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El requerimiento correcto aparece seleccionado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Preparación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Agrega archivos o carpetas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Cada elemento aparece en la tabla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Verificación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Espera mientras el sistema revisa o repara una copia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Estado válido, reparado o rechazado con explicación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Transferencia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Confirma el envío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Porcentaje por archivo y porcentaje total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Cierre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Espera la confirmación final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Estado completado y recibo digital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Iniciar sesión con e.firma</w:t>
      </w:r>
    </w:p>
    <w:p>
      <w:pPr>
        <w:pStyle w:val="Heading2"/>
        <w:keepNext/>
      </w:pPr>
      <w:r>
        <w:t>Identificar cada campo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864038"/>
            <wp:docPr id="3" name="Picture 3" descr="Pantalla de acceso del cliente con campos numerados" title="Pantalla de acceso del cliente con campos numer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ano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864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2. Pantalla de inicio de sesión. Los números corresponden a los pasos siguientes.</w:t>
      </w:r>
    </w:p>
    <w:p>
      <w:pPr>
        <w:ind w:left="461" w:hanging="403"/>
      </w:pPr>
      <w:r>
        <w:rPr>
          <w:b/>
        </w:rPr>
        <w:t xml:space="preserve">1. </w:t>
      </w:r>
      <w:r>
        <w:t xml:space="preserve">Escriba su </w:t>
      </w:r>
      <w:r>
        <w:rPr>
          <w:b/>
        </w:rPr>
        <w:t>RFC</w:t>
      </w:r>
      <w:r>
        <w:t xml:space="preserve"> sin espacios al principio o al final.</w:t>
      </w:r>
    </w:p>
    <w:p>
      <w:pPr>
        <w:ind w:left="461" w:hanging="403"/>
      </w:pPr>
      <w:r>
        <w:rPr>
          <w:b/>
        </w:rPr>
        <w:t xml:space="preserve">2. </w:t>
      </w:r>
      <w:r>
        <w:t xml:space="preserve">Presione </w:t>
      </w:r>
      <w:r>
        <w:rPr>
          <w:b/>
        </w:rPr>
        <w:t>CER</w:t>
      </w:r>
      <w:r>
        <w:t xml:space="preserve"> y seleccione el certificado público de su e.firma.</w:t>
      </w:r>
    </w:p>
    <w:p>
      <w:pPr>
        <w:ind w:left="461" w:hanging="403"/>
      </w:pPr>
      <w:r>
        <w:rPr>
          <w:b/>
        </w:rPr>
        <w:t xml:space="preserve">3. </w:t>
      </w:r>
      <w:r>
        <w:t xml:space="preserve">Presione </w:t>
      </w:r>
      <w:r>
        <w:rPr>
          <w:b/>
        </w:rPr>
        <w:t>KEY</w:t>
      </w:r>
      <w:r>
        <w:t xml:space="preserve"> y seleccione la llave privada que corresponde a ese certificado.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Escriba la </w:t>
      </w:r>
      <w:r>
        <w:rPr>
          <w:b/>
        </w:rPr>
        <w:t>contraseña</w:t>
      </w:r>
      <w:r>
        <w:t xml:space="preserve"> de la llave privada. La contraseña no se guarda en el equipo.</w:t>
      </w:r>
    </w:p>
    <w:p>
      <w:pPr>
        <w:ind w:left="461" w:hanging="403"/>
      </w:pPr>
      <w:r>
        <w:rPr>
          <w:b/>
        </w:rPr>
        <w:t xml:space="preserve">5. </w:t>
      </w:r>
      <w:r>
        <w:t xml:space="preserve">Presione </w:t>
      </w:r>
      <w:r>
        <w:rPr>
          <w:b/>
        </w:rPr>
        <w:t>Acceder</w:t>
      </w:r>
      <w:r>
        <w:t xml:space="preserve"> una sola vez y espere la respuesta.</w:t>
      </w:r>
    </w:p>
    <w:p>
      <w:pPr>
        <w:pStyle w:val="Heading2"/>
        <w:keepNext/>
      </w:pPr>
      <w:r>
        <w:t>Resultado esperado</w:t>
      </w:r>
    </w:p>
    <w:p>
      <w:r>
        <w:t>La ventana principal muestra su nombre, RFC y perfil. Si aparece un mensaje, léalo completo antes de cerrarlo; el título indica la etapa y el texto explica la causa.</w:t>
      </w:r>
    </w:p>
    <w:p>
      <w:pPr>
        <w:pStyle w:val="Heading2"/>
        <w:keepNext/>
      </w:pPr>
      <w:r>
        <w:t>Si no puede iniciar sesión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Mensaje o síntoma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Qué hacer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CER y KEY no corresponden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Se seleccionaron archivos de personas o renovaciones distintas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Busque el par emitido en la misma renovación de e.firma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Contraseña incorrecta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La llave no pudo abrirse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Verifique mayúsculas, distribución del teclado y contraseña; no pruebe repetidamente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Certificado vencido o revocado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La e.firma ya no es válida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Use una e.firma vigente y autorizada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No hay hosts OCSP/CRL permitidos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Configuración incompleta del servidor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Informe a soporte; no cambie archivos locales ni desactive la validación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Error interno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El servidor, SQL, storage o catálogo no respondió correctamente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Anote hora, RFC, versión del cliente y texto exacto; no envíe la KEY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No aparecen auditorías o requerimientos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El RFC no tiene asignación o el contexto no coincide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Revise filtros y solicite validación del catálogo BuDi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SI ALGO FALLA:</w:t>
            </w:r>
            <w:r>
              <w:t xml:space="preserve"> capture el mensaje completo, la hora y la versión mostrada por el cliente. No envíe archivos CER/KEY, contraseñas ni capturas donde se vea una contraseña.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Elegir el requerimiento correcto</w:t>
      </w:r>
    </w:p>
    <w:p>
      <w:r>
        <w:t>La pantalla principal filtra la información de lo general a lo específico. Cambiar un campo actualiza los campos que dependen de él.</w:t>
      </w:r>
    </w:p>
    <w:p>
      <w:pPr>
        <w:pStyle w:val="Heading2"/>
        <w:keepNext/>
      </w:pPr>
      <w:r>
        <w:t>Orden obligatorio de selección</w:t>
      </w:r>
    </w:p>
    <w:p>
      <w:pPr>
        <w:ind w:left="461" w:hanging="403"/>
      </w:pPr>
      <w:r>
        <w:rPr>
          <w:b/>
        </w:rPr>
        <w:t xml:space="preserve">1. </w:t>
      </w:r>
      <w:r>
        <w:t xml:space="preserve">Seleccione el </w:t>
      </w:r>
      <w:r>
        <w:rPr>
          <w:b/>
        </w:rPr>
        <w:t>Año PAAVI</w:t>
      </w:r>
      <w:r>
        <w:t>.</w:t>
      </w:r>
    </w:p>
    <w:p>
      <w:pPr>
        <w:ind w:left="461" w:hanging="403"/>
      </w:pPr>
      <w:r>
        <w:rPr>
          <w:b/>
        </w:rPr>
        <w:t xml:space="preserve">2. </w:t>
      </w:r>
      <w:r>
        <w:t xml:space="preserve">Confirme el </w:t>
      </w:r>
      <w:r>
        <w:rPr>
          <w:b/>
        </w:rPr>
        <w:t>Ente Fiscalizado</w:t>
      </w:r>
      <w:r>
        <w:t>.</w:t>
      </w:r>
    </w:p>
    <w:p>
      <w:pPr>
        <w:ind w:left="461" w:hanging="403"/>
      </w:pPr>
      <w:r>
        <w:rPr>
          <w:b/>
        </w:rPr>
        <w:t xml:space="preserve">3. </w:t>
      </w:r>
      <w:r>
        <w:t xml:space="preserve">Seleccione la </w:t>
      </w:r>
      <w:r>
        <w:rPr>
          <w:b/>
        </w:rPr>
        <w:t>Auditoría</w:t>
      </w:r>
      <w:r>
        <w:t>.</w:t>
      </w:r>
    </w:p>
    <w:p>
      <w:pPr>
        <w:ind w:left="461" w:hanging="403"/>
      </w:pPr>
      <w:r>
        <w:rPr>
          <w:b/>
        </w:rPr>
        <w:t xml:space="preserve">4. </w:t>
      </w:r>
      <w:r>
        <w:t xml:space="preserve">Seleccione el </w:t>
      </w:r>
      <w:r>
        <w:rPr>
          <w:b/>
        </w:rPr>
        <w:t>Acto de Fiscalización</w:t>
      </w:r>
      <w:r>
        <w:t>.</w:t>
      </w:r>
    </w:p>
    <w:p>
      <w:pPr>
        <w:ind w:left="461" w:hanging="403"/>
      </w:pPr>
      <w:r>
        <w:rPr>
          <w:b/>
        </w:rPr>
        <w:t xml:space="preserve">5. </w:t>
      </w:r>
      <w:r>
        <w:t xml:space="preserve">Seleccione el </w:t>
      </w:r>
      <w:r>
        <w:rPr>
          <w:b/>
        </w:rPr>
        <w:t>Oficio de Solicitud</w:t>
      </w:r>
      <w:r>
        <w:t>.</w:t>
      </w:r>
    </w:p>
    <w:p>
      <w:pPr>
        <w:ind w:left="461" w:hanging="403"/>
      </w:pPr>
      <w:r>
        <w:rPr>
          <w:b/>
        </w:rPr>
        <w:t xml:space="preserve">6. </w:t>
      </w:r>
      <w:r>
        <w:t xml:space="preserve">Haga clic en el renglón del </w:t>
      </w:r>
      <w:r>
        <w:rPr>
          <w:b/>
        </w:rPr>
        <w:t>Requerimiento</w:t>
      </w:r>
      <w:r>
        <w:t xml:space="preserve"> que atenderá.</w:t>
      </w:r>
    </w:p>
    <w:p>
      <w:pPr>
        <w:pStyle w:val="Heading2"/>
        <w:keepNext/>
      </w:pPr>
      <w:r>
        <w:t>Cómo saber si eligió bien</w:t>
      </w:r>
    </w:p>
    <w:p>
      <w:pPr>
        <w:pStyle w:val="ListBullet"/>
      </w:pPr>
      <w:r>
        <w:t>El encabezado muestra el año y el ente esperados.</w:t>
      </w:r>
    </w:p>
    <w:p>
      <w:pPr>
        <w:pStyle w:val="ListBullet"/>
      </w:pPr>
      <w:r>
        <w:t>El oficio coincide con la referencia del documento recibido.</w:t>
      </w:r>
    </w:p>
    <w:p>
      <w:pPr>
        <w:pStyle w:val="ListBullet"/>
      </w:pPr>
      <w:r>
        <w:t>El apartado/rubro y la descripción del requerimiento corresponden a los archivos que enviará.</w:t>
      </w:r>
    </w:p>
    <w:p>
      <w:pPr>
        <w:pStyle w:val="ListBullet"/>
      </w:pPr>
      <w:r>
        <w:t xml:space="preserve">La columna </w:t>
      </w:r>
      <w:r>
        <w:rPr>
          <w:b/>
        </w:rPr>
        <w:t>Documentos enviados</w:t>
      </w:r>
      <w:r>
        <w:t xml:space="preserve"> refleja los documentos ya registrados para ese renglón.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no use “Agregar documentos” hasta seleccionar el renglón exacto. Un archivo técnicamente válido puede quedar asociado al requerimiento equivocado si el contexto es incorrecto.</w:t>
            </w:r>
          </w:p>
        </w:tc>
      </w:tr>
    </w:tbl>
    <w:p>
      <w:pPr>
        <w:pStyle w:val="Heading2"/>
        <w:keepNext/>
      </w:pPr>
      <w:r>
        <w:t>Buscar y refrescar</w:t>
      </w:r>
    </w:p>
    <w:p>
      <w:pPr>
        <w:pStyle w:val="ListBullet"/>
      </w:pPr>
      <w:r>
        <w:t xml:space="preserve">Escriba parte del apartado o de la descripción en </w:t>
      </w:r>
      <w:r>
        <w:rPr>
          <w:b/>
        </w:rPr>
        <w:t>Filtrar requerimientos</w:t>
      </w:r>
      <w:r>
        <w:t>.</w:t>
      </w:r>
    </w:p>
    <w:p>
      <w:pPr>
        <w:pStyle w:val="ListBullet"/>
      </w:pPr>
      <w:r>
        <w:t xml:space="preserve">Presione </w:t>
      </w:r>
      <w:r>
        <w:rPr>
          <w:b/>
        </w:rPr>
        <w:t>Actualizar tabla</w:t>
      </w:r>
      <w:r>
        <w:t xml:space="preserve"> cuando espere información nueva del servidor.</w:t>
      </w:r>
    </w:p>
    <w:p>
      <w:pPr>
        <w:pStyle w:val="ListBullet"/>
      </w:pPr>
      <w:r>
        <w:t>Si el contador no cambia después de una carga completada, espere la confirmación de cierre y actualice la tabla. El cliente refresca el contexto al cerrar correctamente la ventana de carga.</w:t>
      </w:r>
    </w:p>
    <w:p>
      <w:r>
        <w:br w:type="page"/>
      </w:r>
    </w:p>
    <w:p>
      <w:pPr>
        <w:pStyle w:val="Heading1"/>
        <w:keepNext/>
      </w:pPr>
      <w:r>
        <w:t>Preparar los archivos</w:t>
      </w:r>
    </w:p>
    <w:p>
      <w:pPr>
        <w:pStyle w:val="Heading2"/>
        <w:keepNext/>
      </w:pPr>
      <w:r>
        <w:t>Agregar archivos individuales</w:t>
      </w:r>
    </w:p>
    <w:p>
      <w:pPr>
        <w:ind w:left="461" w:hanging="403"/>
      </w:pPr>
      <w:r>
        <w:rPr>
          <w:b/>
        </w:rPr>
        <w:t xml:space="preserve">1. </w:t>
      </w:r>
      <w:r>
        <w:t>Seleccione el requerimiento.</w:t>
      </w:r>
    </w:p>
    <w:p>
      <w:pPr>
        <w:ind w:left="461" w:hanging="403"/>
      </w:pPr>
      <w:r>
        <w:rPr>
          <w:b/>
        </w:rPr>
        <w:t xml:space="preserve">2. </w:t>
      </w:r>
      <w:r>
        <w:t xml:space="preserve">Presione </w:t>
      </w:r>
      <w:r>
        <w:rPr>
          <w:b/>
        </w:rPr>
        <w:t>Agregar documentos</w:t>
      </w:r>
      <w:r>
        <w:t>.</w:t>
      </w:r>
    </w:p>
    <w:p>
      <w:pPr>
        <w:ind w:left="461" w:hanging="403"/>
      </w:pPr>
      <w:r>
        <w:rPr>
          <w:b/>
        </w:rPr>
        <w:t xml:space="preserve">3. </w:t>
      </w:r>
      <w:r>
        <w:t xml:space="preserve">En la ventana de carga, presione nuevamente </w:t>
      </w:r>
      <w:r>
        <w:rPr>
          <w:b/>
        </w:rPr>
        <w:t>Agregar documentos</w:t>
      </w:r>
      <w:r>
        <w:t>.</w:t>
      </w:r>
    </w:p>
    <w:p>
      <w:pPr>
        <w:ind w:left="461" w:hanging="403"/>
      </w:pPr>
      <w:r>
        <w:rPr>
          <w:b/>
        </w:rPr>
        <w:t xml:space="preserve">4. </w:t>
      </w:r>
      <w:r>
        <w:t>Seleccione uno o varios archivos.</w:t>
      </w:r>
    </w:p>
    <w:p>
      <w:pPr>
        <w:ind w:left="461" w:hanging="403"/>
      </w:pPr>
      <w:r>
        <w:rPr>
          <w:b/>
        </w:rPr>
        <w:t xml:space="preserve">5. </w:t>
      </w:r>
      <w:r>
        <w:t>Revise nombre, ubicación original y tamaño antes de confirmar.</w:t>
      </w:r>
    </w:p>
    <w:p>
      <w:pPr>
        <w:pStyle w:val="Heading2"/>
        <w:keepNext/>
      </w:pPr>
      <w:r>
        <w:t>Agregar una carpeta</w:t>
      </w:r>
    </w:p>
    <w:p>
      <w:pPr>
        <w:ind w:left="461" w:hanging="403"/>
      </w:pPr>
      <w:r>
        <w:rPr>
          <w:b/>
        </w:rPr>
        <w:t xml:space="preserve">1. </w:t>
      </w:r>
      <w:r>
        <w:t xml:space="preserve">Presione </w:t>
      </w:r>
      <w:r>
        <w:rPr>
          <w:b/>
        </w:rPr>
        <w:t>Agregar carpetas</w:t>
      </w:r>
      <w:r>
        <w:t>.</w:t>
      </w:r>
    </w:p>
    <w:p>
      <w:pPr>
        <w:ind w:left="461" w:hanging="403"/>
      </w:pPr>
      <w:r>
        <w:rPr>
          <w:b/>
        </w:rPr>
        <w:t xml:space="preserve">2. </w:t>
      </w:r>
      <w:r>
        <w:t>Seleccione la carpeta raíz.</w:t>
      </w:r>
    </w:p>
    <w:p>
      <w:pPr>
        <w:ind w:left="461" w:hanging="403"/>
      </w:pPr>
      <w:r>
        <w:rPr>
          <w:b/>
        </w:rPr>
        <w:t xml:space="preserve">3. </w:t>
      </w:r>
      <w:r>
        <w:t>Espere mientras se enumeran los archivos.</w:t>
      </w:r>
    </w:p>
    <w:p>
      <w:pPr>
        <w:ind w:left="461" w:hanging="403"/>
      </w:pPr>
      <w:r>
        <w:rPr>
          <w:b/>
        </w:rPr>
        <w:t xml:space="preserve">4. </w:t>
      </w:r>
      <w:r>
        <w:t>Revise la lista antes de iniciar la carga.</w:t>
      </w:r>
    </w:p>
    <w:p>
      <w:r>
        <w:t>La carpeta original no se mueve ni se modifica. El sistema prepara copias de trabajo para inspección y, cuando corresponde, reparación.</w:t>
      </w:r>
    </w:p>
    <w:p>
      <w:pPr>
        <w:pStyle w:val="Heading2"/>
        <w:keepNext/>
      </w:pPr>
      <w:r>
        <w:t>Retirar algo de la lista</w:t>
      </w:r>
    </w:p>
    <w:p>
      <w:pPr>
        <w:pStyle w:val="ListBullet"/>
      </w:pPr>
      <w:r>
        <w:t xml:space="preserve">Use </w:t>
      </w:r>
      <w:r>
        <w:rPr>
          <w:b/>
        </w:rPr>
        <w:t>Quitar</w:t>
      </w:r>
      <w:r>
        <w:t xml:space="preserve"> en el renglón que ya no desea enviar.</w:t>
      </w:r>
    </w:p>
    <w:p>
      <w:pPr>
        <w:pStyle w:val="ListBullet"/>
      </w:pPr>
      <w:r>
        <w:t>Un archivo rechazado deja de considerarse pendiente; puede retirarlo o sustituirlo.</w:t>
      </w:r>
    </w:p>
    <w:p>
      <w:pPr>
        <w:pStyle w:val="ListBullet"/>
      </w:pPr>
      <w:r>
        <w:t xml:space="preserve">No retire un archivo que ya aparece como </w:t>
      </w:r>
      <w:r>
        <w:rPr>
          <w:b/>
        </w:rPr>
        <w:t>Completado</w:t>
      </w:r>
      <w:r>
        <w:t>: ya fue aceptado por el servidor. Para una baja posterior use el procedimiento autorizado del módulo de documentos.</w:t>
      </w:r>
    </w:p>
    <w:p>
      <w:pPr>
        <w:pStyle w:val="Heading2"/>
        <w:keepNext/>
      </w:pPr>
      <w:r>
        <w:t>Archivos sin límite máximo</w:t>
      </w:r>
    </w:p>
    <w:p>
      <w:r>
        <w:t>El producto admite políticas sin límite funcional por archivo. “Sin límite” no significa “sin recursos”: la duración depende de red, disco, ventana de operación y espacio disponible. Un archivo grande debe mostrar progreso y puede reanudarse después de una interrupción.</w:t>
      </w:r>
    </w:p>
    <w:p>
      <w:r>
        <w:br w:type="page"/>
      </w:r>
    </w:p>
    <w:p>
      <w:pPr>
        <w:pStyle w:val="Heading1"/>
        <w:keepNext/>
      </w:pPr>
      <w:r>
        <w:t>Comprender la verificación de archivos</w:t>
      </w:r>
    </w:p>
    <w:p>
      <w:r>
        <w:t>Antes de transferir, el cliente consulta la política efectiva y revisa una copia. El servidor vuelve a verificar los bytes persistidos antes de catalogarlos.</w:t>
      </w:r>
    </w:p>
    <w:p>
      <w:pPr>
        <w:pStyle w:val="Heading2"/>
        <w:keepNext/>
      </w:pPr>
      <w:r>
        <w:t>Qué se revisa</w:t>
      </w:r>
    </w:p>
    <w:p>
      <w:pPr>
        <w:pStyle w:val="ListBullet"/>
      </w:pPr>
      <w:r>
        <w:t>Extensión habilitada por la política administrativa.</w:t>
      </w:r>
    </w:p>
    <w:p>
      <w:pPr>
        <w:pStyle w:val="ListBullet"/>
      </w:pPr>
      <w:r>
        <w:t>Estructura real del formato, no solo el nombre del archivo.</w:t>
      </w:r>
    </w:p>
    <w:p>
      <w:pPr>
        <w:pStyle w:val="ListBullet"/>
      </w:pPr>
      <w:r>
        <w:t>Contraseñas o cifrado que impidan abrir y trabajar con el contenido.</w:t>
      </w:r>
    </w:p>
    <w:p>
      <w:pPr>
        <w:pStyle w:val="ListBullet"/>
      </w:pPr>
      <w:r>
        <w:t>Daño estructural y posibilidad de reparación segura.</w:t>
      </w:r>
    </w:p>
    <w:p>
      <w:pPr>
        <w:pStyle w:val="ListBullet"/>
      </w:pPr>
      <w:r>
        <w:t>Macros, contenido activo, relaciones externas o rutas internas peligrosas.</w:t>
      </w:r>
    </w:p>
    <w:p>
      <w:pPr>
        <w:pStyle w:val="ListBullet"/>
      </w:pPr>
      <w:r>
        <w:t>Tamaño máximo cuando la política tiene un límite explícito.</w:t>
      </w:r>
    </w:p>
    <w:p>
      <w:pPr>
        <w:pStyle w:val="ListBullet"/>
      </w:pPr>
      <w:r>
        <w:t>Hash SHA-256 para confirmar que los bytes recibidos coinciden.</w:t>
      </w:r>
    </w:p>
    <w:p>
      <w:pPr>
        <w:pStyle w:val="Heading2"/>
        <w:keepNext/>
      </w:pPr>
      <w:r>
        <w:t>Resultado de un PDF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Qué significa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Acción del usuario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Válido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Abre, no está cifrado y su estructura es aceptable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Continúe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Reparado y revalidado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Se corrigió una copia y volvió a pasar toda la revisión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Continúe; el original permanece intacto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Protegido con contraseña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No puede demostrarse acceso normal al contenido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Obtenga una copia sin contraseña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Dañado no reparable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La estructura no puede recuperarse de forma confiable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Genere o solicite una nueva copia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Contenido activo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Incluye acciones no permitidas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Elimine el contenido activo y vuelva a generar el PDF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Rechazado por política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Extensión bloqueada o límite explícito superado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Use un formato permitido o contacte al administrador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IMPORTANTE:</w:t>
            </w:r>
            <w:r>
              <w:t xml:space="preserve"> una reparación solo se acepta si el archivo reparado se verifica de nuevo. Cambiar la extensión de </w:t>
            </w:r>
            <w:r>
              <w:rPr>
                <w:rFonts w:ascii="Consolas" w:hAnsi="Consolas"/>
                <w:color w:val="5B3112"/>
                <w:sz w:val="19"/>
              </w:rPr>
              <w:t>.zip</w:t>
            </w:r>
            <w:r>
              <w:t xml:space="preserve"> a </w:t>
            </w:r>
            <w:r>
              <w:rPr>
                <w:rFonts w:ascii="Consolas" w:hAnsi="Consolas"/>
                <w:color w:val="5B3112"/>
                <w:sz w:val="19"/>
              </w:rPr>
              <w:t>.pdf</w:t>
            </w:r>
            <w:r>
              <w:t xml:space="preserve"> no repara nada; únicamente le pone una corbata al problema.</w:t>
            </w:r>
          </w:p>
        </w:tc>
      </w:tr>
    </w:tbl>
    <w:p>
      <w:pPr>
        <w:pStyle w:val="Heading2"/>
        <w:keepNext/>
      </w:pPr>
      <w:r>
        <w:t>Verificación omitida por política</w:t>
      </w:r>
    </w:p>
    <w:p>
      <w:r>
        <w:t>Cuando un administrador desactiva la verificación profunda para una extensión, el sistema sigue autenticando, autorizando, calculando hash, aplicando controles básicos y generando recibo. Sin embargo, no demuestra ausencia de contraseña ni estructura sana. La pantalla y el recibo deben indicarlo.</w:t>
      </w:r>
    </w:p>
    <w:p>
      <w:r>
        <w:br w:type="page"/>
      </w:r>
    </w:p>
    <w:p>
      <w:pPr>
        <w:pStyle w:val="Heading1"/>
        <w:keepNext/>
      </w:pPr>
      <w:r>
        <w:t>Enviar y leer el progreso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431943"/>
            <wp:docPr id="4" name="Picture 4" descr="Carga terminada con elementos numerados" title="Carga terminada con elementos numer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rga-completada-anot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43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3. Ejemplo de una carga finalizada. Los archivos originales no cambiaron.</w:t>
      </w:r>
    </w:p>
    <w:p>
      <w:pPr>
        <w:ind w:left="461" w:hanging="403"/>
      </w:pPr>
      <w:r>
        <w:rPr>
          <w:b/>
        </w:rPr>
        <w:t xml:space="preserve">1. </w:t>
      </w:r>
      <w:r>
        <w:rPr>
          <w:b/>
        </w:rPr>
        <w:t>Avance total</w:t>
      </w:r>
      <w:r>
        <w:t>: progreso de todo el lote.</w:t>
      </w:r>
    </w:p>
    <w:p>
      <w:pPr>
        <w:ind w:left="461" w:hanging="403"/>
      </w:pPr>
      <w:r>
        <w:rPr>
          <w:b/>
        </w:rPr>
        <w:t xml:space="preserve">2. </w:t>
      </w:r>
      <w:r>
        <w:rPr>
          <w:b/>
        </w:rPr>
        <w:t>Avance del archivo</w:t>
      </w:r>
      <w:r>
        <w:t>: progreso del elemento actualmente procesado.</w:t>
      </w:r>
    </w:p>
    <w:p>
      <w:pPr>
        <w:ind w:left="461" w:hanging="403"/>
      </w:pPr>
      <w:r>
        <w:rPr>
          <w:b/>
        </w:rPr>
        <w:t xml:space="preserve">3. </w:t>
      </w:r>
      <w:r>
        <w:rPr>
          <w:b/>
        </w:rPr>
        <w:t>Estado</w:t>
      </w:r>
      <w:r>
        <w:t>: pendiente, inspeccionando, reparando, transmitiendo, verificando, completado o fallido.</w:t>
      </w:r>
    </w:p>
    <w:p>
      <w:pPr>
        <w:ind w:left="461" w:hanging="403"/>
      </w:pPr>
      <w:r>
        <w:rPr>
          <w:b/>
        </w:rPr>
        <w:t xml:space="preserve">4. </w:t>
      </w:r>
      <w:r>
        <w:rPr>
          <w:b/>
        </w:rPr>
        <w:t>Acción actual</w:t>
      </w:r>
      <w:r>
        <w:t>: explica qué está haciendo el sistema y muestra recibo o error cuando termina.</w:t>
      </w:r>
    </w:p>
    <w:p>
      <w:pPr>
        <w:ind w:left="461" w:hanging="403"/>
      </w:pPr>
      <w:r>
        <w:rPr>
          <w:b/>
        </w:rPr>
        <w:t xml:space="preserve">5. </w:t>
      </w:r>
      <w:r>
        <w:rPr>
          <w:b/>
        </w:rPr>
        <w:t>Confirmar agregar archivos</w:t>
      </w:r>
      <w:r>
        <w:t>: inicia el proceso para los elementos válidos y pendientes.</w:t>
      </w:r>
    </w:p>
    <w:p>
      <w:pPr>
        <w:pStyle w:val="Heading2"/>
        <w:keepNext/>
      </w:pPr>
      <w:r>
        <w:t>Secuencia visible normal</w:t>
      </w:r>
    </w:p>
    <w:p>
      <w:pPr>
        <w:ind w:left="461" w:hanging="403"/>
      </w:pPr>
      <w:r>
        <w:rPr>
          <w:b/>
        </w:rPr>
        <w:t xml:space="preserve">1. </w:t>
      </w:r>
      <w:r>
        <w:t>Preparando copia segura.</w:t>
      </w:r>
    </w:p>
    <w:p>
      <w:pPr>
        <w:ind w:left="461" w:hanging="403"/>
      </w:pPr>
      <w:r>
        <w:rPr>
          <w:b/>
        </w:rPr>
        <w:t xml:space="preserve">2. </w:t>
      </w:r>
      <w:r>
        <w:t>Consultando política.</w:t>
      </w:r>
    </w:p>
    <w:p>
      <w:pPr>
        <w:ind w:left="461" w:hanging="403"/>
      </w:pPr>
      <w:r>
        <w:rPr>
          <w:b/>
        </w:rPr>
        <w:t xml:space="preserve">3. </w:t>
      </w:r>
      <w:r>
        <w:t>Verificando estructura.</w:t>
      </w:r>
    </w:p>
    <w:p>
      <w:pPr>
        <w:ind w:left="461" w:hanging="403"/>
      </w:pPr>
      <w:r>
        <w:rPr>
          <w:b/>
        </w:rPr>
        <w:t xml:space="preserve">4. </w:t>
      </w:r>
      <w:r>
        <w:t>Reparando, únicamente si es posible y necesario.</w:t>
      </w:r>
    </w:p>
    <w:p>
      <w:pPr>
        <w:ind w:left="461" w:hanging="403"/>
      </w:pPr>
      <w:r>
        <w:rPr>
          <w:b/>
        </w:rPr>
        <w:t xml:space="preserve">5. </w:t>
      </w:r>
      <w:r>
        <w:t>Revalidando el archivo reparado.</w:t>
      </w:r>
    </w:p>
    <w:p>
      <w:pPr>
        <w:ind w:left="461" w:hanging="403"/>
      </w:pPr>
      <w:r>
        <w:rPr>
          <w:b/>
        </w:rPr>
        <w:t xml:space="preserve">6. </w:t>
      </w:r>
      <w:r>
        <w:t>Enviando bloques al servidor.</w:t>
      </w:r>
    </w:p>
    <w:p>
      <w:pPr>
        <w:ind w:left="461" w:hanging="403"/>
      </w:pPr>
      <w:r>
        <w:rPr>
          <w:b/>
        </w:rPr>
        <w:t xml:space="preserve">7. </w:t>
      </w:r>
      <w:r>
        <w:t>Verificando hash almacenado.</w:t>
      </w:r>
    </w:p>
    <w:p>
      <w:pPr>
        <w:ind w:left="461" w:hanging="403"/>
      </w:pPr>
      <w:r>
        <w:rPr>
          <w:b/>
        </w:rPr>
        <w:t xml:space="preserve">8. </w:t>
      </w:r>
      <w:r>
        <w:t>Registrando el archivo en BuDi.</w:t>
      </w:r>
    </w:p>
    <w:p>
      <w:pPr>
        <w:ind w:left="461" w:hanging="403"/>
      </w:pPr>
      <w:r>
        <w:rPr>
          <w:b/>
        </w:rPr>
        <w:t xml:space="preserve">9. </w:t>
      </w:r>
      <w:r>
        <w:t>Emitiendo recibo digital.</w:t>
      </w:r>
    </w:p>
    <w:p>
      <w:pPr>
        <w:ind w:left="461" w:hanging="403"/>
      </w:pPr>
      <w:r>
        <w:rPr>
          <w:b/>
        </w:rPr>
        <w:t xml:space="preserve">10. </w:t>
      </w:r>
      <w:r>
        <w:t>Completado.</w:t>
      </w:r>
    </w:p>
    <w:p>
      <w:pPr>
        <w:pStyle w:val="Heading2"/>
        <w:keepNext/>
      </w:pPr>
      <w:r>
        <w:t>Cuándo terminó realmente</w:t>
      </w:r>
    </w:p>
    <w:p>
      <w:r>
        <w:t xml:space="preserve">La barra en 100 % no basta por sí sola. El renglón debe decir </w:t>
      </w:r>
      <w:r>
        <w:rPr>
          <w:b/>
        </w:rPr>
        <w:t>Completado</w:t>
      </w:r>
      <w:r>
        <w:t xml:space="preserve">, la acción debe confirmar </w:t>
      </w:r>
      <w:r>
        <w:rPr>
          <w:b/>
        </w:rPr>
        <w:t>enviado y verificado</w:t>
      </w:r>
      <w:r>
        <w:t xml:space="preserve"> y debe existir un identificador de recibo digital.</w:t>
      </w:r>
    </w:p>
    <w:p>
      <w:pPr>
        <w:pStyle w:val="Heading1"/>
        <w:keepNext/>
      </w:pPr>
      <w:r>
        <w:t>Reanudar después de una interrupción</w:t>
      </w:r>
    </w:p>
    <w:p>
      <w:r>
        <w:t>El cliente conserva un diario local sin credenciales y una copia segura del trabajo pendiente. El servidor conserva el checkpoint durable durante la ventana configurada.</w:t>
      </w:r>
    </w:p>
    <w:p>
      <w:pPr>
        <w:pStyle w:val="Heading2"/>
        <w:keepNext/>
      </w:pPr>
      <w:r>
        <w:t>Qué hacer después de reiniciar un equipo</w:t>
      </w:r>
    </w:p>
    <w:p>
      <w:pPr>
        <w:ind w:left="461" w:hanging="403"/>
      </w:pPr>
      <w:r>
        <w:rPr>
          <w:b/>
        </w:rPr>
        <w:t xml:space="preserve">1. </w:t>
      </w:r>
      <w:r>
        <w:t>Abra el cliente normalmente.</w:t>
      </w:r>
    </w:p>
    <w:p>
      <w:pPr>
        <w:ind w:left="461" w:hanging="403"/>
      </w:pPr>
      <w:r>
        <w:rPr>
          <w:b/>
        </w:rPr>
        <w:t xml:space="preserve">2. </w:t>
      </w:r>
      <w:r>
        <w:t>Inicie sesión con la misma e.firma.</w:t>
      </w:r>
    </w:p>
    <w:p>
      <w:pPr>
        <w:ind w:left="461" w:hanging="403"/>
      </w:pPr>
      <w:r>
        <w:rPr>
          <w:b/>
        </w:rPr>
        <w:t xml:space="preserve">3. </w:t>
      </w:r>
      <w:r>
        <w:t>Vuelva al mismo requerimiento.</w:t>
      </w:r>
    </w:p>
    <w:p>
      <w:pPr>
        <w:ind w:left="461" w:hanging="403"/>
      </w:pPr>
      <w:r>
        <w:rPr>
          <w:b/>
        </w:rPr>
        <w:t xml:space="preserve">4. </w:t>
      </w:r>
      <w:r>
        <w:t>El cliente reconstruirá la cola pendiente y consultará el último byte confirmado.</w:t>
      </w:r>
    </w:p>
    <w:p>
      <w:pPr>
        <w:ind w:left="461" w:hanging="403"/>
      </w:pPr>
      <w:r>
        <w:rPr>
          <w:b/>
        </w:rPr>
        <w:t xml:space="preserve">5. </w:t>
      </w:r>
      <w:r>
        <w:t>Confirme la reanudación cuando se informe en pantalla.</w:t>
      </w:r>
    </w:p>
    <w:p>
      <w:pPr>
        <w:ind w:left="461" w:hanging="403"/>
      </w:pPr>
      <w:r>
        <w:rPr>
          <w:b/>
        </w:rPr>
        <w:t xml:space="preserve">6. </w:t>
      </w:r>
      <w:r>
        <w:t>Verifique que el progreso continúe desde un valor mayor que cero.</w:t>
      </w:r>
    </w:p>
    <w:p>
      <w:pPr>
        <w:pStyle w:val="Heading2"/>
        <w:keepNext/>
      </w:pPr>
      <w:r>
        <w:t>Condiciones para reanudar</w:t>
      </w:r>
    </w:p>
    <w:p>
      <w:pPr>
        <w:pStyle w:val="ListBullet"/>
      </w:pPr>
      <w:r>
        <w:t>Es el mismo archivo: nombre lógico, longitud y SHA-256 coinciden.</w:t>
      </w:r>
    </w:p>
    <w:p>
      <w:pPr>
        <w:pStyle w:val="ListBullet"/>
      </w:pPr>
      <w:r>
        <w:t>Se usa el mismo contexto de requerimiento y RFC.</w:t>
      </w:r>
    </w:p>
    <w:p>
      <w:pPr>
        <w:pStyle w:val="ListBullet"/>
      </w:pPr>
      <w:r>
        <w:t>La copia segura local sigue disponible.</w:t>
      </w:r>
    </w:p>
    <w:p>
      <w:pPr>
        <w:pStyle w:val="ListBullet"/>
      </w:pPr>
      <w:r>
        <w:t>El parcial del servidor no ha vencido.</w:t>
      </w:r>
    </w:p>
    <w:p>
      <w:pPr>
        <w:pStyle w:val="ListBullet"/>
      </w:pPr>
      <w:r>
        <w:t>La política vigente todavía permite el archivo.</w:t>
      </w:r>
    </w:p>
    <w:p>
      <w:r>
        <w:t>Si alguna condición cambia, el sistema debe iniciar una carga nueva o rechazarla; nunca debe unir bytes de archivos distintos.</w:t>
      </w:r>
    </w:p>
    <w:p>
      <w:r>
        <w:br w:type="page"/>
      </w:r>
    </w:p>
    <w:p>
      <w:pPr>
        <w:pStyle w:val="Heading1"/>
        <w:keepNext/>
      </w:pPr>
      <w:r>
        <w:t>Ver y descargar documentos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2835954"/>
            <wp:docPr id="5" name="Picture 5" descr="Ventana de documentos registrados" title="Ventana de documentos registr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er-docume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35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80"/>
          <w:sz w:val="17"/>
        </w:rPr>
        <w:t>Figura 4. Documentos ya registrados para el requerimiento seleccionado.</w:t>
      </w:r>
    </w:p>
    <w:p>
      <w:pPr>
        <w:pStyle w:val="Heading2"/>
        <w:keepNext/>
      </w:pPr>
      <w:r>
        <w:t>Consultar</w:t>
      </w:r>
    </w:p>
    <w:p>
      <w:pPr>
        <w:ind w:left="461" w:hanging="403"/>
      </w:pPr>
      <w:r>
        <w:rPr>
          <w:b/>
        </w:rPr>
        <w:t xml:space="preserve">1. </w:t>
      </w:r>
      <w:r>
        <w:t>Seleccione un requerimiento.</w:t>
      </w:r>
    </w:p>
    <w:p>
      <w:pPr>
        <w:ind w:left="461" w:hanging="403"/>
      </w:pPr>
      <w:r>
        <w:rPr>
          <w:b/>
        </w:rPr>
        <w:t xml:space="preserve">2. </w:t>
      </w:r>
      <w:r>
        <w:t xml:space="preserve">Presione </w:t>
      </w:r>
      <w:r>
        <w:rPr>
          <w:b/>
        </w:rPr>
        <w:t>Ver documentos</w:t>
      </w:r>
      <w:r>
        <w:t>.</w:t>
      </w:r>
    </w:p>
    <w:p>
      <w:pPr>
        <w:ind w:left="461" w:hanging="403"/>
      </w:pPr>
      <w:r>
        <w:rPr>
          <w:b/>
        </w:rPr>
        <w:t xml:space="preserve">3. </w:t>
      </w:r>
      <w:r>
        <w:t>Revise nombre, extensión, tamaño y fecha de alta.</w:t>
      </w:r>
    </w:p>
    <w:p>
      <w:pPr>
        <w:ind w:left="461" w:hanging="403"/>
      </w:pPr>
      <w:r>
        <w:rPr>
          <w:b/>
        </w:rPr>
        <w:t xml:space="preserve">4. </w:t>
      </w:r>
      <w:r>
        <w:t>Use la paginación para consultar todos los registros.</w:t>
      </w:r>
    </w:p>
    <w:p>
      <w:pPr>
        <w:pStyle w:val="Heading2"/>
        <w:keepNext/>
      </w:pPr>
      <w:r>
        <w:t>Descargar</w:t>
      </w:r>
    </w:p>
    <w:p>
      <w:pPr>
        <w:ind w:left="461" w:hanging="403"/>
      </w:pPr>
      <w:r>
        <w:rPr>
          <w:b/>
        </w:rPr>
        <w:t xml:space="preserve">1. </w:t>
      </w:r>
      <w:r>
        <w:t>Seleccione únicamente los archivos necesarios.</w:t>
      </w:r>
    </w:p>
    <w:p>
      <w:pPr>
        <w:ind w:left="461" w:hanging="403"/>
      </w:pPr>
      <w:r>
        <w:rPr>
          <w:b/>
        </w:rPr>
        <w:t xml:space="preserve">2. </w:t>
      </w:r>
      <w:r>
        <w:t xml:space="preserve">Presione </w:t>
      </w:r>
      <w:r>
        <w:rPr>
          <w:b/>
        </w:rPr>
        <w:t>Descargar seleccionados</w:t>
      </w:r>
      <w:r>
        <w:t>.</w:t>
      </w:r>
    </w:p>
    <w:p>
      <w:pPr>
        <w:ind w:left="461" w:hanging="403"/>
      </w:pPr>
      <w:r>
        <w:rPr>
          <w:b/>
        </w:rPr>
        <w:t xml:space="preserve">3. </w:t>
      </w:r>
      <w:r>
        <w:t>Elija una ubicación local autorizada.</w:t>
      </w:r>
    </w:p>
    <w:p>
      <w:pPr>
        <w:ind w:left="461" w:hanging="403"/>
      </w:pPr>
      <w:r>
        <w:rPr>
          <w:b/>
        </w:rPr>
        <w:t xml:space="preserve">4. </w:t>
      </w:r>
      <w:r>
        <w:t>Observe progreso por archivo y total.</w:t>
      </w:r>
    </w:p>
    <w:p>
      <w:pPr>
        <w:ind w:left="461" w:hanging="403"/>
      </w:pPr>
      <w:r>
        <w:rPr>
          <w:b/>
        </w:rPr>
        <w:t xml:space="preserve">5. </w:t>
      </w:r>
      <w:r>
        <w:t>Espere la verificación SHA-256 antes de abrir el archivo.</w:t>
      </w:r>
    </w:p>
    <w:p>
      <w:r>
        <w:t>La descarga puede continuar mediante HTTP Range después de una interrupción. Si el servidor no tiene evidencia interna suficiente de tamaño y hash, la descarga se bloquea para evitar entregar un archivo no verificable.</w:t>
      </w:r>
    </w:p>
    <w:p>
      <w:r>
        <w:br w:type="page"/>
      </w:r>
    </w:p>
    <w:p>
      <w:pPr>
        <w:pStyle w:val="Heading1"/>
        <w:keepNext/>
      </w:pPr>
      <w:r>
        <w:t>Actualizar el cliente</w:t>
      </w:r>
    </w:p>
    <w:p>
      <w:r>
        <w:t>Cuando existe una versión nueva, el cliente muestra versión, notas y si es obligatoria.</w:t>
      </w:r>
    </w:p>
    <w:p>
      <w:pPr>
        <w:ind w:left="461" w:hanging="403"/>
      </w:pPr>
      <w:r>
        <w:rPr>
          <w:b/>
        </w:rPr>
        <w:t xml:space="preserve">1. </w:t>
      </w:r>
      <w:r>
        <w:t>Guarde su trabajo y termine cargas activas cuando sea posible.</w:t>
      </w:r>
    </w:p>
    <w:p>
      <w:pPr>
        <w:ind w:left="461" w:hanging="403"/>
      </w:pPr>
      <w:r>
        <w:rPr>
          <w:b/>
        </w:rPr>
        <w:t xml:space="preserve">2. </w:t>
      </w:r>
      <w:r>
        <w:t>Acepte la actualización.</w:t>
      </w:r>
    </w:p>
    <w:p>
      <w:pPr>
        <w:ind w:left="461" w:hanging="403"/>
      </w:pPr>
      <w:r>
        <w:rPr>
          <w:b/>
        </w:rPr>
        <w:t xml:space="preserve">3. </w:t>
      </w:r>
      <w:r>
        <w:t>Espere la descarga del paquete.</w:t>
      </w:r>
    </w:p>
    <w:p>
      <w:pPr>
        <w:ind w:left="461" w:hanging="403"/>
      </w:pPr>
      <w:r>
        <w:rPr>
          <w:b/>
        </w:rPr>
        <w:t xml:space="preserve">4. </w:t>
      </w:r>
      <w:r>
        <w:t>El actualizador verifica SHA-256 y firma digital antes de aplicar cambios.</w:t>
      </w:r>
    </w:p>
    <w:p>
      <w:pPr>
        <w:ind w:left="461" w:hanging="403"/>
      </w:pPr>
      <w:r>
        <w:rPr>
          <w:b/>
        </w:rPr>
        <w:t xml:space="preserve">5. </w:t>
      </w:r>
      <w:r>
        <w:t>La instalación actual se respalda y se restaura automáticamente si la copia falla.</w:t>
      </w:r>
    </w:p>
    <w:p>
      <w:pPr>
        <w:ind w:left="461" w:hanging="403"/>
      </w:pPr>
      <w:r>
        <w:rPr>
          <w:b/>
        </w:rPr>
        <w:t xml:space="preserve">6. </w:t>
      </w:r>
      <w:r>
        <w:t>Abra nuevamente el cliente y confirme la versión mostrada.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DEDEF"/>
            <w:tcBorders>
              <w:top w:val="single" w:sz="12" w:color="B83245"/>
              <w:left w:val="single" w:sz="12" w:color="B83245"/>
              <w:bottom w:val="single" w:sz="12" w:color="B83245"/>
              <w:right w:val="single" w:sz="12" w:color="B83245"/>
              <w:insideH w:val="single" w:sz="12" w:color="B83245"/>
              <w:insideV w:val="single" w:sz="12" w:color="B83245"/>
            </w:tcBorders>
          </w:tcPr>
          <w:p>
            <w:pPr>
              <w:spacing w:after="0"/>
            </w:pPr>
            <w:r>
              <w:rPr>
                <w:b/>
              </w:rPr>
              <w:t>NO CONTINÚE</w:t>
            </w:r>
            <w:r>
              <w:t xml:space="preserve"> si Windows o el actualizador informa firma inválida, hash diferente o paquete incompleto. Contacte a soporte y conserve el log; no desactive esos controles.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Solución rápida de problemas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Revise primero</w:t>
            </w:r>
          </w:p>
        </w:tc>
        <w:tc>
          <w:tcPr>
            <w:tcW w:type="dxa" w:w="3389"/>
            <w:shd w:fill="5B3112"/>
            <w:tcBorders>
              <w:top w:val="single" w:sz="6" w:color="5B3112"/>
              <w:left w:val="single" w:sz="6" w:color="5B3112"/>
              <w:bottom w:val="single" w:sz="6" w:color="5B3112"/>
              <w:right w:val="single" w:sz="6" w:color="5B3112"/>
              <w:insideH w:val="single" w:sz="6" w:color="5B3112"/>
              <w:insideV w:val="single" w:sz="6" w:color="5B3112"/>
            </w:tcBorders>
          </w:tcPr>
          <w:p>
            <w:r>
              <w:rPr>
                <w:b/>
                <w:color w:val="FFFFFF"/>
                <w:sz w:val="17"/>
              </w:rPr>
              <w:t>Acción segura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El botón Agregar documentos está deshabilitado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No hay requerimiento seleccionado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Seleccione un renglón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Un archivo sigue pendiente después de fallar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Estado y mensaje del renglón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Actualice a la versión vigente; retire el rechazado y vuelva a agregar una copia corregida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La vista no muestra archivos recién enviados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Cierre correcto y recibo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Cierre la ventana de carga o use Actualizar tabla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La carga vuelve a cero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Archivo/contexto cambió o parcial venció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No fuerce el diario; reinicie como carga nueva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No se puede descargar de forma segura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Falta hash/tamaño interno o archivo fue alterado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Solicite reconciliación al administrador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Archivo con contraseña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El formato requiere clave para abrir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Entregue una copia institucional sin contraseña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PDF dañado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El sistema intentó reparar y revalidar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6"/>
              </w:rPr>
              <w:t>Si fue no reparable, regenérelo desde la fuente</w:t>
            </w:r>
          </w:p>
        </w:tc>
      </w:tr>
      <w:tr>
        <w:trPr>
          <w:cantSplit/>
        </w:trPr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Conexión interrumpida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Red o servidor reiniciado</w:t>
            </w:r>
          </w:p>
        </w:tc>
        <w:tc>
          <w:tcPr>
            <w:tcW w:type="dxa" w:w="33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8F9FA"/>
          </w:tcPr>
          <w:p>
            <w:r>
              <w:rPr>
                <w:sz w:val="16"/>
              </w:rPr>
              <w:t>Mantenga el archivo original y reabra para reanudar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Lista de verificación final</w:t>
      </w:r>
    </w:p>
    <w:p>
      <w:pPr>
        <w:pStyle w:val="ListBullet"/>
      </w:pPr>
      <w:r>
        <w:t>El requerimiento visible es el correcto.</w:t>
      </w:r>
    </w:p>
    <w:p>
      <w:pPr>
        <w:pStyle w:val="ListBullet"/>
      </w:pPr>
      <w:r>
        <w:t>Todos los archivos deseados aparecen en la lista.</w:t>
      </w:r>
    </w:p>
    <w:p>
      <w:pPr>
        <w:pStyle w:val="ListBullet"/>
      </w:pPr>
      <w:r>
        <w:t>Ningún rechazado permanece como pendiente.</w:t>
      </w:r>
    </w:p>
    <w:p>
      <w:pPr>
        <w:pStyle w:val="ListBullet"/>
      </w:pPr>
      <w:r>
        <w:t xml:space="preserve">Cada archivo terminado dice </w:t>
      </w:r>
      <w:r>
        <w:rPr>
          <w:b/>
        </w:rPr>
        <w:t>Completado</w:t>
      </w:r>
      <w:r>
        <w:t>.</w:t>
      </w:r>
    </w:p>
    <w:p>
      <w:pPr>
        <w:pStyle w:val="ListBullet"/>
      </w:pPr>
      <w:r>
        <w:t>El avance total llegó a 100 %.</w:t>
      </w:r>
    </w:p>
    <w:p>
      <w:pPr>
        <w:pStyle w:val="ListBullet"/>
      </w:pPr>
      <w:r>
        <w:t>Cada completado tiene recibo digital.</w:t>
      </w:r>
    </w:p>
    <w:p>
      <w:pPr>
        <w:pStyle w:val="ListBullet"/>
      </w:pPr>
      <w:r>
        <w:t>La tabla principal refleja el nuevo número de documentos.</w:t>
      </w:r>
    </w:p>
    <w:p>
      <w:pPr>
        <w:pStyle w:val="ListBullet"/>
      </w:pPr>
      <w:r>
        <w:t>Los archivos originales permanecen en su ubicación y sin cambios.</w:t>
      </w:r>
    </w:p>
    <w:p>
      <w:r>
        <w:br w:type="page"/>
      </w:r>
    </w:p>
    <w:p>
      <w:pPr>
        <w:pStyle w:val="Heading1"/>
        <w:keepNext/>
      </w:pPr>
      <w:r>
        <w:t>Información que debe enviar a soporte</w:t>
      </w:r>
    </w:p>
    <w:p>
      <w:pPr>
        <w:pStyle w:val="ListBullet"/>
      </w:pPr>
      <w:r>
        <w:t>Fecha y hora aproximada.</w:t>
      </w:r>
    </w:p>
    <w:p>
      <w:pPr>
        <w:pStyle w:val="ListBullet"/>
      </w:pPr>
      <w:r>
        <w:t>RFC, sin enviar CER, KEY ni contraseña.</w:t>
      </w:r>
    </w:p>
    <w:p>
      <w:pPr>
        <w:pStyle w:val="ListBullet"/>
      </w:pPr>
      <w:r>
        <w:t>Versión del cliente.</w:t>
      </w:r>
    </w:p>
    <w:p>
      <w:pPr>
        <w:pStyle w:val="ListBullet"/>
      </w:pPr>
      <w:r>
        <w:t>Año, auditoría, oficio y requerimiento.</w:t>
      </w:r>
    </w:p>
    <w:p>
      <w:pPr>
        <w:pStyle w:val="ListBullet"/>
      </w:pPr>
      <w:r>
        <w:t>Nombre y tamaño del archivo.</w:t>
      </w:r>
    </w:p>
    <w:p>
      <w:pPr>
        <w:pStyle w:val="ListBullet"/>
      </w:pPr>
      <w:r>
        <w:t xml:space="preserve">Estado y texto exacto de </w:t>
      </w:r>
      <w:r>
        <w:rPr>
          <w:b/>
        </w:rPr>
        <w:t>Acción actual</w:t>
      </w:r>
      <w:r>
        <w:t>.</w:t>
      </w:r>
    </w:p>
    <w:p>
      <w:pPr>
        <w:pStyle w:val="ListBullet"/>
      </w:pPr>
      <w:r>
        <w:t>Identificador de traza o recibo, si aparece.</w:t>
      </w:r>
    </w:p>
    <w:p>
      <w:pPr>
        <w:pStyle w:val="ListBullet"/>
      </w:pPr>
      <w:r>
        <w:t>Captura de pantalla sin datos secretos.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5076"/>
        </w:tcPr>
        <w:p>
          <w:r>
            <w:rPr>
              <w:sz w:val="16"/>
            </w:rPr>
            <w:t>Uso institucional  ·  Documentación controlada</w:t>
          </w:r>
        </w:p>
      </w:tc>
      <w:tc>
        <w:tcPr>
          <w:tcW w:type="dxa" w:w="5076"/>
        </w:tcPr>
        <w:p>
          <w:pPr>
            <w:jc w:val="right"/>
          </w:pPr>
          <w:r>
            <w:rPr>
              <w:sz w:val="18"/>
            </w:rPr>
            <w:t xml:space="preserve">Página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1944"/>
      <w:gridCol w:w="8208"/>
    </w:tblGrid>
    <w:tr>
      <w:tc>
        <w:tcPr>
          <w:tcW w:type="dxa" w:w="5076"/>
        </w:tcPr>
        <w:p>
          <w:r>
            <w:drawing>
              <wp:inline xmlns:a="http://schemas.openxmlformats.org/drawingml/2006/main" xmlns:pic="http://schemas.openxmlformats.org/drawingml/2006/picture">
                <wp:extent cx="1143000" cy="234412"/>
                <wp:docPr id="1" name="Picture 1" descr="Logotipo de la Auditoría Superior del Estado de Sinaloa" title="Logotipo de la Auditoría Superior del Estado de Sinalo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344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76"/>
        </w:tcPr>
        <w:p>
          <w:pPr>
            <w:jc w:val="right"/>
          </w:pPr>
          <w:r>
            <w:rPr>
              <w:rFonts w:ascii="Segoe UI" w:hAnsi="Segoe UI"/>
              <w:b/>
              <w:color w:val="5B3112"/>
              <w:sz w:val="17"/>
            </w:rPr>
            <w:t>Transfer ASE 2027  ·  TransferClienteASE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191D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TransferClienteASE</dc:title>
  <dc:subject>Ecosistema Transfer ASE 2027</dc:subject>
  <dc:creator>Auditoría Superior del Estado de Sinaloa</dc:creator>
  <cp:keywords/>
  <dc:description>Documento generado desde fuentes versionadas del repositorio TransferASE2027.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