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pPr>
      <w:r>
        <w:rPr>
          <w:rFonts w:ascii="Arial" w:hAnsi="Arial"/>
          <w:sz w:val="21"/>
        </w:rPr>
        <w:t>Solomon Olufelo | Student ID: 210729170</w:t>
        <w:br/>
        <w:t>SY 281 A: Qualitative Research Methods (Dr. Stephen Svenson)</w:t>
        <w:br/>
        <w:t>September 17, 2026</w:t>
      </w:r>
    </w:p>
    <w:p>
      <w:pPr>
        <w:spacing w:before="40" w:after="120"/>
        <w:jc w:val="center"/>
      </w:pPr>
      <w:r>
        <w:rPr>
          <w:rFonts w:ascii="Arial" w:hAnsi="Arial"/>
          <w:b/>
          <w:sz w:val="24"/>
        </w:rPr>
        <w:t>Exercise #1: What is Epistemicide?</w:t>
      </w:r>
    </w:p>
    <w:p>
      <w:pPr>
        <w:spacing w:line="240" w:lineRule="auto" w:after="80"/>
        <w:jc w:val="both"/>
      </w:pPr>
      <w:r>
        <w:rPr>
          <w:rFonts w:ascii="Arial" w:hAnsi="Arial"/>
          <w:i w:val="0"/>
          <w:sz w:val="24"/>
        </w:rPr>
        <w:t>In my own words, epistemicide is the deliberate destruction, silencing, and invalidation of a colonized people's knowledge systems, languages, and ways of knowing by an imperial power. Coined by Boaventura de Sousa Santos (2014) and elaborated by Ramón Grosfoguel (2013), epistemicide operates as the intellectual counterpart to physical genocide. It occurs when a dominant empire claims that Eurocentric rationality holds a monopoly on truth, dismissing Indigenous and subaltern epistemologies as primitive superstition. Grosfoguel links this to René Descartes' philosophical foundation (</w:t>
      </w:r>
      <w:r>
        <w:rPr>
          <w:rFonts w:ascii="Arial" w:hAnsi="Arial"/>
          <w:i/>
          <w:sz w:val="24"/>
        </w:rPr>
        <w:t>ego cogito</w:t>
      </w:r>
      <w:r>
        <w:rPr>
          <w:rFonts w:ascii="Arial" w:hAnsi="Arial"/>
          <w:i w:val="0"/>
          <w:sz w:val="24"/>
        </w:rPr>
        <w:t>—"I think, therefore I am"). Descartes claimed a detached, neutral perspective, but Grosfoguel shows it was preceded by 150 years of imperial conquerors (</w:t>
      </w:r>
      <w:r>
        <w:rPr>
          <w:rFonts w:ascii="Arial" w:hAnsi="Arial"/>
          <w:i/>
          <w:sz w:val="24"/>
        </w:rPr>
        <w:t>ego conquiro</w:t>
      </w:r>
      <w:r>
        <w:rPr>
          <w:rFonts w:ascii="Arial" w:hAnsi="Arial"/>
          <w:i w:val="0"/>
          <w:sz w:val="24"/>
        </w:rPr>
        <w:t>—"I conquer, therefore I am"). The sword came first, enabling European philosophy to disguise localized colonial power as universal rationality.</w:t>
      </w:r>
    </w:p>
    <w:p>
      <w:pPr>
        <w:spacing w:line="240" w:lineRule="auto" w:after="80"/>
        <w:jc w:val="both"/>
      </w:pPr>
      <w:r>
        <w:rPr>
          <w:rFonts w:ascii="Arial" w:hAnsi="Arial"/>
          <w:i w:val="0"/>
          <w:sz w:val="24"/>
        </w:rPr>
        <w:t>Grosfoguel (2013) identifies four foundational epistemicides during the "long 16th century" that established Western hegemony. First was the 1492 conquest of Al-Andalus, where Muslims and Jews were expelled from Spain while vast Arabic and Hebrew scientific and philosophical libraries were burned. Second was the conquest of Abya Yala (the Americas), combining Indigenous genocide with the systematic burning of sacred Mayan, Aztec, and Andean codices. Third was the transatlantic slave trade, where millions of Africans were kidnapped, stripped of their ancestral languages, metallurgical knowledge, and cosmologies, and commodified into chattel. Fourth was the European witch hunts, which burned hundreds of thousands of female midwives and healers to destroy autonomous women-centered ecological knowledge in favor of patriarchal capitalist science.</w:t>
      </w:r>
    </w:p>
    <w:p>
      <w:pPr>
        <w:spacing w:line="240" w:lineRule="auto" w:after="80"/>
        <w:jc w:val="both"/>
      </w:pPr>
      <w:r>
        <w:rPr>
          <w:rFonts w:ascii="Arial" w:hAnsi="Arial"/>
          <w:i w:val="0"/>
          <w:sz w:val="24"/>
        </w:rPr>
        <w:t xml:space="preserve">In Canada, epistemicide is the foundational machinery of settler colonialism. As Patrick Wolfe (2006) argued, settler colonialism is not an isolated past event, but an ongoing societal structure driven by a "logic of elimination." Settler states do not merely exploit labor; they seek permanent possession of the land itself. Because the Canadian state required moral and legal justification to dispossess Indigenous nations, it operationalized epistemicide as a core governing technology. By dismissing Indigenous legal systems and land stewardship under the Eurocentric fictions of </w:t>
      </w:r>
      <w:r>
        <w:rPr>
          <w:rFonts w:ascii="Arial" w:hAnsi="Arial"/>
          <w:i/>
          <w:sz w:val="24"/>
        </w:rPr>
        <w:t>terra nullius</w:t>
      </w:r>
      <w:r>
        <w:rPr>
          <w:rFonts w:ascii="Arial" w:hAnsi="Arial"/>
          <w:i w:val="0"/>
          <w:sz w:val="24"/>
        </w:rPr>
        <w:t xml:space="preserve"> and Crown sovereignty, the government rationalized territorial theft. Physical dispossession was impossible without first destroying the legitimacy of Indigenous jurisprudence.</w:t>
      </w:r>
    </w:p>
    <w:p>
      <w:pPr>
        <w:spacing w:line="240" w:lineRule="auto" w:after="80"/>
        <w:jc w:val="both"/>
      </w:pPr>
      <w:r>
        <w:rPr>
          <w:rFonts w:ascii="Arial" w:hAnsi="Arial"/>
          <w:i w:val="0"/>
          <w:sz w:val="24"/>
        </w:rPr>
        <w:t xml:space="preserve">Canadian epistemicide is powerfully documented in </w:t>
      </w:r>
      <w:r>
        <w:rPr>
          <w:rFonts w:ascii="Arial" w:hAnsi="Arial"/>
          <w:i/>
          <w:sz w:val="24"/>
        </w:rPr>
        <w:t>The Memorial to Sir Wilfrid Laurier</w:t>
      </w:r>
      <w:r>
        <w:rPr>
          <w:rFonts w:ascii="Arial" w:hAnsi="Arial"/>
          <w:i w:val="0"/>
          <w:sz w:val="24"/>
        </w:rPr>
        <w:t>, presented at Kamloops on August 25, 1910, by the Chiefs of the Secwépemc, Nlaka'pamux, and Syilx Nations (Chiefs of the Shuswap, Okanagan and Couteau Tribes, 1910). First, the Chiefs proved sovereign title through ancient oral law (</w:t>
      </w:r>
      <w:r>
        <w:rPr>
          <w:rFonts w:ascii="Arial" w:hAnsi="Arial"/>
          <w:i/>
          <w:sz w:val="24"/>
        </w:rPr>
        <w:t>yiri7 re stsq'ey's-kucw</w:t>
      </w:r>
      <w:r>
        <w:rPr>
          <w:rFonts w:ascii="Arial" w:hAnsi="Arial"/>
          <w:i w:val="0"/>
          <w:sz w:val="24"/>
        </w:rPr>
        <w:t>), preserved through oral histories (</w:t>
      </w:r>
      <w:r>
        <w:rPr>
          <w:rFonts w:ascii="Arial" w:hAnsi="Arial"/>
          <w:i/>
          <w:sz w:val="24"/>
        </w:rPr>
        <w:t>Stspet'kwle</w:t>
      </w:r>
      <w:r>
        <w:rPr>
          <w:rFonts w:ascii="Arial" w:hAnsi="Arial"/>
          <w:i w:val="0"/>
          <w:sz w:val="24"/>
        </w:rPr>
        <w:t>) and Coyote (</w:t>
      </w:r>
      <w:r>
        <w:rPr>
          <w:rFonts w:ascii="Arial" w:hAnsi="Arial"/>
          <w:i/>
          <w:sz w:val="24"/>
        </w:rPr>
        <w:t>Sk'el'ep</w:t>
      </w:r>
      <w:r>
        <w:rPr>
          <w:rFonts w:ascii="Arial" w:hAnsi="Arial"/>
          <w:i w:val="0"/>
          <w:sz w:val="24"/>
        </w:rPr>
        <w:t>) traditions; the state committed epistemicide by dismissing this oral jurisprudence as primitive myth. Second, the Chiefs protested that colonial officials perverted the original host-guest relationship, declaring authority over sovereign hosts, breaking down "our old laws and customs," and brushing chiefs aside (Chiefs of the Shuswap et al., 1910, p. 6). Third, Canada passed Section 141 of the Indian Act, outlawing hiring lawyers for land claims. Alongside residential schools that criminalized Indigenous languages (Truth and Reconciliation Commission of Canada, 2015), epistemicide accomplished total territorial dispossession.</w:t>
      </w:r>
    </w:p>
    <w:p>
      <w:r>
        <w:br w:type="page"/>
      </w:r>
    </w:p>
    <w:p>
      <w:pPr>
        <w:spacing w:before="0" w:after="240"/>
        <w:jc w:val="center"/>
      </w:pPr>
      <w:r>
        <w:rPr>
          <w:rFonts w:ascii="Arial" w:hAnsi="Arial"/>
          <w:b/>
          <w:sz w:val="24"/>
        </w:rPr>
        <w:t>References</w:t>
      </w:r>
    </w:p>
    <w:p>
      <w:pPr>
        <w:spacing w:after="200" w:line="240" w:lineRule="auto"/>
        <w:ind w:left="720" w:hanging="720"/>
        <w:jc w:val="left"/>
      </w:pPr>
      <w:r>
        <w:rPr>
          <w:rFonts w:ascii="Arial" w:hAnsi="Arial"/>
          <w:i w:val="0"/>
          <w:sz w:val="24"/>
        </w:rPr>
        <w:t xml:space="preserve">Chiefs of the Shuswap, Okanagan and Couteau Tribes. (1910, August 25). </w:t>
      </w:r>
      <w:r>
        <w:rPr>
          <w:rFonts w:ascii="Arial" w:hAnsi="Arial"/>
          <w:i/>
          <w:sz w:val="24"/>
        </w:rPr>
        <w:t>Memorial to Sir Wilfrid Laurier, Premier of the Dominion of Canada.</w:t>
      </w:r>
      <w:r>
        <w:rPr>
          <w:rFonts w:ascii="Arial" w:hAnsi="Arial"/>
          <w:i w:val="0"/>
          <w:sz w:val="24"/>
        </w:rPr>
        <w:t xml:space="preserve"> Kamloops, BC. Shuswap Nation Tribal Council.</w:t>
      </w:r>
    </w:p>
    <w:p>
      <w:pPr>
        <w:spacing w:after="200" w:line="240" w:lineRule="auto"/>
        <w:ind w:left="720" w:hanging="720"/>
        <w:jc w:val="left"/>
      </w:pPr>
      <w:r>
        <w:rPr>
          <w:rFonts w:ascii="Arial" w:hAnsi="Arial"/>
          <w:i w:val="0"/>
          <w:sz w:val="24"/>
        </w:rPr>
        <w:t xml:space="preserve">Grosfoguel, R. (2013). The structure of knowledge in Westernized universities: Epistemic racism/sexism and the four genocides/epistemicides of the long 16th century. </w:t>
      </w:r>
      <w:r>
        <w:rPr>
          <w:rFonts w:ascii="Arial" w:hAnsi="Arial"/>
          <w:i/>
          <w:sz w:val="24"/>
        </w:rPr>
        <w:t>Human Architecture: Journal of the Sociology of Self-Knowledge,</w:t>
      </w:r>
      <w:r>
        <w:rPr>
          <w:rFonts w:ascii="Arial" w:hAnsi="Arial"/>
          <w:i w:val="0"/>
          <w:sz w:val="24"/>
        </w:rPr>
        <w:t xml:space="preserve"> 11(1), 73–90.</w:t>
      </w:r>
    </w:p>
    <w:p>
      <w:pPr>
        <w:spacing w:after="200" w:line="240" w:lineRule="auto"/>
        <w:ind w:left="720" w:hanging="720"/>
        <w:jc w:val="left"/>
      </w:pPr>
      <w:r>
        <w:rPr>
          <w:rFonts w:ascii="Arial" w:hAnsi="Arial"/>
          <w:i w:val="0"/>
          <w:sz w:val="24"/>
        </w:rPr>
        <w:t xml:space="preserve">Santos, B. de S. (2014). </w:t>
      </w:r>
      <w:r>
        <w:rPr>
          <w:rFonts w:ascii="Arial" w:hAnsi="Arial"/>
          <w:i/>
          <w:sz w:val="24"/>
        </w:rPr>
        <w:t>Epistemologies of the South: Justice against epistemicide.</w:t>
      </w:r>
      <w:r>
        <w:rPr>
          <w:rFonts w:ascii="Arial" w:hAnsi="Arial"/>
          <w:i w:val="0"/>
          <w:sz w:val="24"/>
        </w:rPr>
        <w:t xml:space="preserve"> Paradigm Publishers.</w:t>
      </w:r>
    </w:p>
    <w:p>
      <w:pPr>
        <w:spacing w:after="200" w:line="240" w:lineRule="auto"/>
        <w:ind w:left="720" w:hanging="720"/>
        <w:jc w:val="left"/>
      </w:pPr>
      <w:r>
        <w:rPr>
          <w:rFonts w:ascii="Arial" w:hAnsi="Arial"/>
          <w:i w:val="0"/>
          <w:sz w:val="24"/>
        </w:rPr>
        <w:t xml:space="preserve">Truth and Reconciliation Commission of Canada. (2015). </w:t>
      </w:r>
      <w:r>
        <w:rPr>
          <w:rFonts w:ascii="Arial" w:hAnsi="Arial"/>
          <w:i/>
          <w:sz w:val="24"/>
        </w:rPr>
        <w:t>Honouring the truth, reconciling for the future: Summary of the final report of the Truth and Reconciliation Commission of Canada.</w:t>
      </w:r>
      <w:r>
        <w:rPr>
          <w:rFonts w:ascii="Arial" w:hAnsi="Arial"/>
          <w:i w:val="0"/>
          <w:sz w:val="24"/>
        </w:rPr>
        <w:t xml:space="preserve"> Library and Archives Canada.</w:t>
      </w:r>
    </w:p>
    <w:p>
      <w:pPr>
        <w:spacing w:after="200" w:line="240" w:lineRule="auto"/>
        <w:ind w:left="720" w:hanging="720"/>
        <w:jc w:val="left"/>
      </w:pPr>
      <w:r>
        <w:rPr>
          <w:rFonts w:ascii="Arial" w:hAnsi="Arial"/>
          <w:i w:val="0"/>
          <w:sz w:val="24"/>
        </w:rPr>
        <w:t xml:space="preserve">Wolfe, P. (2006). Settler colonialism and the elimination of the native. </w:t>
      </w:r>
      <w:r>
        <w:rPr>
          <w:rFonts w:ascii="Arial" w:hAnsi="Arial"/>
          <w:i/>
          <w:sz w:val="24"/>
        </w:rPr>
        <w:t>Journal of Genocide Research,</w:t>
      </w:r>
      <w:r>
        <w:rPr>
          <w:rFonts w:ascii="Arial" w:hAnsi="Arial"/>
          <w:i w:val="0"/>
          <w:sz w:val="24"/>
        </w:rPr>
        <w:t xml:space="preserve"> 8(4), 387–409. https://doi.org/10.1080/14623520601056240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before="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