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B365D"/>
          <w:sz w:val="36"/>
        </w:rPr>
        <w:t>WILFRID LAURIER UNIVERSITY — FALL 2026</w:t>
      </w:r>
    </w:p>
    <w:p>
      <w:pPr>
        <w:spacing w:after="240"/>
        <w:jc w:val="center"/>
      </w:pPr>
      <w:r>
        <w:rPr>
          <w:rFonts w:ascii="Arial" w:hAnsi="Arial"/>
          <w:color w:val="555555"/>
          <w:sz w:val="22"/>
        </w:rPr>
        <w:t>EXAM-PROOF MASTER STUDY AID &amp; ACADEMIC ACCELERATOR</w:t>
        <w:br/>
        <w:t>Student: Solomon Olufelo (ID: 210729170) | Courses: SY 281 A, FS 209C A, KS 205 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24" w:space="0" w:color="1B365D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B365D"/>
                <w:sz w:val="22"/>
              </w:rPr>
              <w:t>🎯 MISSION STATEMENT &amp; EXAM IMMUNITY STANDARD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This study aid synthesizes all readings, lecture frameworks, film analyses, and comic grammar across your 3 Fall 2026 courses.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Engineered specifically for in-person exam recall, multiple-choice mastery, and short-answer dominance.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Use the active recall drills, mnemonics, and flashcard banks to study in 20-minute daily bursts.</w:t>
            </w:r>
          </w:p>
        </w:tc>
      </w:tr>
    </w:tbl>
    <w:p>
      <w:pPr>
        <w:spacing w:before="40" w:after="40"/>
      </w:pPr>
    </w:p>
    <w:p>
      <w:pPr>
        <w:spacing w:before="280" w:after="80"/>
      </w:pPr>
      <w:r>
        <w:rPr>
          <w:rFonts w:ascii="Arial" w:hAnsi="Arial"/>
          <w:b/>
          <w:color w:val="1B365D"/>
          <w:sz w:val="28"/>
        </w:rPr>
        <w:t>PART 1: SY 281 A — Qualitative Methods (Dr. Stephen Svenson)</w:t>
      </w: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1.1 The Epistemological Trinity (Ontology, Epistemology, Methodology)</w:t>
      </w:r>
    </w:p>
    <w:p>
      <w:r>
        <w:t>Qualitative sociological research is governed by three interrelated philosophical layers: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3168"/>
        <w:gridCol w:w="4032"/>
      </w:tblGrid>
      <w:tr>
        <w:tc>
          <w:tcPr>
            <w:tcW w:type="dxa" w:w="3120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Philosophical Layer</w:t>
            </w:r>
          </w:p>
        </w:tc>
        <w:tc>
          <w:tcPr>
            <w:tcW w:type="dxa" w:w="3120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Core Question</w:t>
            </w:r>
          </w:p>
        </w:tc>
        <w:tc>
          <w:tcPr>
            <w:tcW w:type="dxa" w:w="3120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Positivist vs. Qualitative View</w:t>
            </w:r>
          </w:p>
        </w:tc>
      </w:tr>
      <w:tr>
        <w:tc>
          <w:tcPr>
            <w:tcW w:type="dxa" w:w="312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1. Ontology</w:t>
            </w:r>
          </w:p>
        </w:tc>
        <w:tc>
          <w:tcPr>
            <w:tcW w:type="dxa" w:w="312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What is the nature of reality?</w:t>
            </w:r>
          </w:p>
        </w:tc>
        <w:tc>
          <w:tcPr>
            <w:tcW w:type="dxa" w:w="312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Positivist: Single, objective reality external to humans.</w:t>
              <w:br/>
              <w:t>Qualitative: Multiple, socially constructed realities.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2. Epistemology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What is valid knowledge and who can know?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Positivist: Detached, value-free observation.</w:t>
              <w:br/>
              <w:t>Qualitative: Situated, relational, and embodied knowledge.</w:t>
            </w:r>
          </w:p>
        </w:tc>
      </w:tr>
      <w:tr>
        <w:tc>
          <w:tcPr>
            <w:tcW w:type="dxa" w:w="312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3. Methodology</w:t>
            </w:r>
          </w:p>
        </w:tc>
        <w:tc>
          <w:tcPr>
            <w:tcW w:type="dxa" w:w="312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How do we study that reality?</w:t>
            </w:r>
          </w:p>
        </w:tc>
        <w:tc>
          <w:tcPr>
            <w:tcW w:type="dxa" w:w="312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111111"/>
                <w:sz w:val="19"/>
              </w:rPr>
              <w:t>Positivist: Deductive hypothesis testing, statistics.</w:t>
              <w:br/>
              <w:t>Qualitative: Inductive, emergent, in-depth fieldwork.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1.2 The Four Epistemicides &amp; The Cartesian Shift (Grosfoguel 2013)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DF7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24" w:space="0" w:color="C49A45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B365D"/>
                <w:sz w:val="22"/>
              </w:rPr>
              <w:t>🧠 MNEMONIC: 'A-A-A-W' (The 4 Great Epistemicides)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A — Al-Andalus (1492): Expulsion of Muslims/Jews in Spain; burning of Arabic &amp; Hebrew scientific libraries.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A — Americas / Abya Yala (1500s): Indigenous genocide + burning of Mayan, Aztec, and Andean codices/quipus.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A — African Enslavement (1500s-1800s): Transatlantic slave trade stripping languages, metallurgy, and cosmologies.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W — Witch Hunts in Europe (1500s-1600s): Burning female healers/midwives to establish patriarchal capitalist science.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CARTESIAN LINK: Ego Conquiro ('I conquer, therefore I am') preceded Ego Cogito ('I think, therefore I am').</w:t>
            </w:r>
          </w:p>
        </w:tc>
      </w:tr>
    </w:tbl>
    <w:p>
      <w:pPr>
        <w:spacing w:before="40" w:after="40"/>
      </w:pP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1.3 The Memorial to Sir Wilfrid Laurier (Kamloops, August 25, 1910)</w:t>
      </w:r>
    </w:p>
    <w:p>
      <w:r>
        <w:t>Presented by Chiefs Petit Louis (Secwépemc), John Tetlenitsa (Nlaka'pamux), and John Chilahitsa (Syilx), transcribed by Scottish ally James Teit. Core concepts to quote on an exam: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1. yiri7 re stsq'ey's-kucw: Unwritten ancient oral laws and customs governing Indigenous territory.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2. Stspet'kwle &amp; Sk'el'ep: Sacred oral histories carrying laws established by Coyote (transformer) 5,000+ years ago.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3. Inversion of Host-Guest Paradigm: Indigenous nations welcomed Europeans as guests under reciprocal treaties; the settler state unilaterally declared itself master and forced hosts onto reserves.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4. Section 141 of Indian Act (1927): Canada literally outlawed First Nations from hiring lawyers or raising funds for land claims.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5. Patrick Wolfe's Principle: Settler colonialism is 'a structure, not an event' driven by a 'logic of elimination' to seize the land.</w:t>
      </w: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1.4 Three Paradigms of Knowing (Merrigan et al. — Week 3 Focus)</w:t>
      </w:r>
    </w:p>
    <w:p>
      <w:r>
        <w:t>This is the exact material for Exercise #2 (Sept 24) and the in-person final exam: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448"/>
        <w:gridCol w:w="2448"/>
        <w:gridCol w:w="2448"/>
      </w:tblGrid>
      <w:tr>
        <w:tc>
          <w:tcPr>
            <w:tcW w:type="dxa" w:w="2340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340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1. Positivist / Empirical</w:t>
            </w:r>
          </w:p>
        </w:tc>
        <w:tc>
          <w:tcPr>
            <w:tcW w:type="dxa" w:w="2340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2. Interpretive</w:t>
            </w:r>
          </w:p>
        </w:tc>
        <w:tc>
          <w:tcPr>
            <w:tcW w:type="dxa" w:w="2340"/>
            <w:shd w:fill="1B365D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3. Critical</w:t>
            </w:r>
          </w:p>
        </w:tc>
      </w:tr>
      <w:tr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Ontology (Reality)</w:t>
            </w:r>
          </w:p>
        </w:tc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Single, objective, measurable reality.</w:t>
            </w:r>
          </w:p>
        </w:tc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Multiple, socially constructed realities.</w:t>
            </w:r>
          </w:p>
        </w:tc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Reality shaped by power, ideology, oppression.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Goal of Research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Predict, explain, find causal laws.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Understand subjective meaning (Verstehen).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Emancipation, social justice, expose power.</w:t>
            </w:r>
          </w:p>
        </w:tc>
      </w:tr>
      <w:tr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Methods</w:t>
            </w:r>
          </w:p>
        </w:tc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Quantitative surveys, lab experiments.</w:t>
            </w:r>
          </w:p>
        </w:tc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In-depth interviews, ethnography, observation.</w:t>
            </w:r>
          </w:p>
        </w:tc>
        <w:tc>
          <w:tcPr>
            <w:tcW w:type="dxa" w:w="2340"/>
            <w:shd w:fill="F9FBF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Critical discourse analysis, PAR, autoethnography.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Role of Values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Claims to be value-free (neutral).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Reflexive (values shape interpretation).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Explicitly value-laden (activist stance).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1B365D"/>
          <w:sz w:val="28"/>
        </w:rPr>
        <w:t>PART 2: FS 209C A — Food and Identity in Film (Dr. Jing Jing Chang)</w:t>
      </w: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2.1 Core Theoretical Frameworks: Culinary Semiotics &amp; Film Language</w:t>
      </w:r>
    </w:p>
    <w:p>
      <w:r>
        <w:t>In film studies, food is never just food. It operates as a dense semiotic system (Roland Barthes):</w:t>
      </w:r>
    </w:p>
    <w:p>
      <w:pPr>
        <w:spacing w:after="40"/>
      </w:pPr>
      <w:r>
        <w:rPr>
          <w:rFonts w:ascii="Arial" w:hAnsi="Arial"/>
          <w:sz w:val="20"/>
        </w:rPr>
        <w:t>• Signifier (The Physical Food): The bowl of steaming ramen, the Peking duck, the fried chicken, the raw egg.</w:t>
      </w:r>
    </w:p>
    <w:p>
      <w:pPr>
        <w:spacing w:after="40"/>
      </w:pPr>
      <w:r>
        <w:rPr>
          <w:rFonts w:ascii="Arial" w:hAnsi="Arial"/>
          <w:sz w:val="20"/>
        </w:rPr>
        <w:t>• Signified (The Cultural Meaning): Discipline, craft, maternal love, class aspiration, erotic intimacy, cultural preservation, or racial survival.</w:t>
      </w:r>
    </w:p>
    <w:p>
      <w:pPr>
        <w:spacing w:after="40"/>
      </w:pPr>
      <w:r>
        <w:rPr>
          <w:rFonts w:ascii="Arial" w:hAnsi="Arial"/>
          <w:sz w:val="20"/>
        </w:rPr>
        <w:t>• Mise-en-scène: Everything that appears before the camera—lighting (warm golden broth lighting vs. harsh industrial fluorescence), actor blocking, props (intricate chopsticks, clay pots), costume.</w:t>
      </w:r>
    </w:p>
    <w:p>
      <w:pPr>
        <w:spacing w:after="40"/>
      </w:pPr>
      <w:r>
        <w:rPr>
          <w:rFonts w:ascii="Arial" w:hAnsi="Arial"/>
          <w:sz w:val="20"/>
        </w:rPr>
        <w:t>• Diegetic vs. Non-Diegetic Sound: Diegetic = the real sounds inside the story world (slurping noodles, sizzling oil, chopping cleavers). Non-diegetic = external music score used to cue emotional nostalgia or comic irony.</w:t>
      </w:r>
    </w:p>
    <w:p>
      <w:pPr>
        <w:spacing w:after="40"/>
      </w:pPr>
      <w:r>
        <w:rPr>
          <w:rFonts w:ascii="Arial" w:hAnsi="Arial"/>
          <w:sz w:val="20"/>
        </w:rPr>
        <w:t>• Gastro-Nostalgia: The use of food rituals to reconstruct a lost homeland, childhood memory, or ancestral connection in the face of modern alienation.</w:t>
      </w: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2.2 Film Analysis #1: Tampopo (Juzo Itami, 1985) — Topic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24" w:space="0" w:color="1B365D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B365D"/>
                <w:sz w:val="22"/>
              </w:rPr>
              <w:t>🍜 TAMPOPO (1985) — THE 'RAMEN WESTERN' &amp; SCENE MASTER LIST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Genre Hybridity: Parody of American classic westerns (Shane). Two truck drivers (Goro &amp; Gun) wearing cowboy hats ride into town on a milk truck to help a struggling ramen shop widow (Tampopo) achieve culinary mastery.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Shokunin Spirit (Craftsmanship): The opening master-student scene. The elderly ramen master teaches how to 'apologize to the pork', caress the soup with chopsticks, and view noodle-making as sacred discipline.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Erotic Vignette: The gangster in white suit and his mistress sharing food (raw egg yolk passed mouth-to-mouth, live shrimp on the belly). Food as primal, visceral, erotic bodily sensation.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Class &amp; Etiquette Vignette: The junior executive at the French restaurant who expertly orders quenelles and vintage wine in fluent French, humiliating his senior bosses who only know how to copy the head manager.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Spaghetti Etiquette Vignette: Japanese women learning 'proper' silent Western spaghetti-eating from a foreign teacher, until an American man loudly slurps his pasta, causing everyone to abandon the rule.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Mortality &amp; Maternal Duty: The dying mother who rises from her deathbed to cook one final fried rice dinner for her family, collapsing dead the moment they begin eating.</w:t>
            </w:r>
          </w:p>
        </w:tc>
      </w:tr>
    </w:tbl>
    <w:p>
      <w:pPr>
        <w:spacing w:before="40" w:after="40"/>
      </w:pP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2.3 Film Analysis #2: Eat Drink Man Woman (Ang Lee, 1994) — Topic 3 (This Week)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DF7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24" w:space="0" w:color="C49A45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1B365D"/>
                <w:sz w:val="22"/>
              </w:rPr>
              <w:t>🥢 EAT DRINK MAN WOMAN (1994) — DIASPORA &amp; THE SUNDAY BANQUET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Master Chef Chu (Tao Chu): A legendary Grand Hotel chef in Taipei who has lost his sense of taste—symbolizing emotional numbness and inability to communicate feelings with his three modern daughters.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Opening 5 Minutes (Cinematic Tour de Force): Chu preparing the Sunday banquet with extraordinary technique (killing a live carp, carving pork belly, stuffing dough). Food is Chu's ONLY language of love.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Sunday Dinner Table as Battleground: The family gathers every Sunday for an extravagant feast that nobody enjoys; each daughter drops life-changing announcements at the table, shattering the traditional Confucian hierarchy.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Tradition vs. Modernity: The daughters represent modern Taipei (an airline executive, a Christian teacher, a Wendy's fast-food worker). Traditional Chinese culinary heritage collides with capitalist modernization.</w:t>
            </w:r>
          </w:p>
          <w:p>
            <w:pPr>
              <w:spacing w:after="40"/>
            </w:pPr>
            <w:r>
              <w:rPr>
                <w:rFonts w:ascii="Arial" w:hAnsi="Arial"/>
                <w:color w:val="111111"/>
                <w:sz w:val="20"/>
              </w:rPr>
              <w:t>• The Climax &amp; Redemption: In the final scene, Chu tastes his daughter Jia-Chien's soup, regaining his sense of taste and establishing emotional reconciliation.</w:t>
            </w:r>
          </w:p>
        </w:tc>
      </w:tr>
    </w:tbl>
    <w:p>
      <w:pPr>
        <w:spacing w:before="40" w:after="40"/>
      </w:pPr>
    </w:p>
    <w:p>
      <w:pPr>
        <w:spacing w:before="280" w:after="80"/>
      </w:pPr>
      <w:r>
        <w:rPr>
          <w:rFonts w:ascii="Arial" w:hAnsi="Arial"/>
          <w:b/>
          <w:color w:val="1B365D"/>
          <w:sz w:val="28"/>
        </w:rPr>
        <w:t>PART 3: KS 205 VA — Cartoons &amp; Comics (Guy Lefebvre)</w:t>
      </w: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3.1 Scott McCloud: Visual Grammar &amp; The Power of the Gutter</w:t>
      </w:r>
    </w:p>
    <w:p>
      <w:r>
        <w:t>Scott McCloud (*Understanding Comics: The Invisible Art*) breaks down the medium into scientific principles:</w:t>
      </w:r>
    </w:p>
    <w:p>
      <w:pPr>
        <w:spacing w:after="60"/>
      </w:pPr>
      <w:r>
        <w:rPr>
          <w:rFonts w:ascii="Arial" w:hAnsi="Arial"/>
          <w:sz w:val="20"/>
        </w:rPr>
        <w:t>1. The Gutter: The blank space between panels. McCloud calls this the heart of comics. In the gutter, the reader's imagination commits CLOSURE—mentally transforming two separate static images into a continuous moving narrative.</w:t>
      </w:r>
    </w:p>
    <w:p>
      <w:pPr>
        <w:spacing w:after="60"/>
      </w:pPr>
      <w:r>
        <w:rPr>
          <w:rFonts w:ascii="Arial" w:hAnsi="Arial"/>
          <w:sz w:val="20"/>
        </w:rPr>
        <w:t>2. Amplification through Simplification: Why do we identify with cartoon faces like Charlie Brown or Homer Simpson? A detailed realistic photo shows someone else; a simplified iconic circle with two dots and a line represents UNIVERSAL HUMANITY. The reader projects themselves into the icon.</w:t>
      </w:r>
    </w:p>
    <w:p>
      <w:pPr>
        <w:spacing w:after="60"/>
      </w:pPr>
      <w:r>
        <w:rPr>
          <w:rFonts w:ascii="Arial" w:hAnsi="Arial"/>
          <w:sz w:val="20"/>
        </w:rPr>
        <w:t>3. The 6 Types of Panel Transitions: Moment-to-moment (requires little closure), Action-to-action (classic American superhero), Subject-to-subject (staying within scene), Scene-to-scene (jumps in time/space), Aspect-to-aspect (sets mood/environment; very common in Manga), and Non-sequitur (no apparent logical link).</w:t>
      </w:r>
    </w:p>
    <w:p>
      <w:r>
        <w:br w:type="page"/>
      </w:r>
    </w:p>
    <w:p>
      <w:pPr>
        <w:spacing w:before="280" w:after="80"/>
      </w:pPr>
      <w:r>
        <w:rPr>
          <w:rFonts w:ascii="Arial" w:hAnsi="Arial"/>
          <w:b/>
          <w:color w:val="1B365D"/>
          <w:sz w:val="28"/>
        </w:rPr>
        <w:t>PART 4: Active Recall Practice Exam &amp; Flashcard Bank</w:t>
      </w:r>
    </w:p>
    <w:p>
      <w:pPr>
        <w:spacing w:after="240"/>
        <w:jc w:val="center"/>
      </w:pPr>
      <w:r>
        <w:rPr>
          <w:rFonts w:ascii="Arial" w:hAnsi="Arial"/>
          <w:color w:val="555555"/>
          <w:sz w:val="22"/>
        </w:rPr>
        <w:t>Test yourself right now. Cover the answer column or test yourself on these 12 exam questions.</w:t>
      </w:r>
    </w:p>
    <w:p>
      <w:pPr>
        <w:spacing w:before="200" w:after="60"/>
      </w:pPr>
      <w:r>
        <w:rPr>
          <w:rFonts w:ascii="Arial" w:hAnsi="Arial"/>
          <w:b/>
          <w:color w:val="111111"/>
          <w:sz w:val="24"/>
        </w:rPr>
        <w:t>4.1 Multiple-Choice Practice Exam (Dr. Svenson &amp; Dr. Chang Style)</w:t>
      </w:r>
    </w:p>
    <w:p>
      <w:pPr>
        <w:spacing w:before="120" w:after="40"/>
      </w:pPr>
      <w:r>
        <w:rPr>
          <w:rFonts w:ascii="Arial" w:hAnsi="Arial"/>
          <w:b/>
          <w:sz w:val="20"/>
        </w:rPr>
        <w:t>1. According to Ramón Grosfoguel, René Descartes' philosophical premise 'ego cogito' was structurally preceded by:</w:t>
      </w:r>
    </w:p>
    <w:p>
      <w:pPr>
        <w:spacing w:after="40"/>
        <w:ind w:left="360"/>
      </w:pPr>
      <w:r>
        <w:rPr>
          <w:rFonts w:ascii="Arial" w:hAnsi="Arial"/>
          <w:sz w:val="19"/>
        </w:rPr>
        <w:t>A) The French Enlightenment (ego rationalis)</w:t>
        <w:br/>
        <w:t>B) European imperial conquest (ego conquiro)</w:t>
        <w:br/>
        <w:t>C) The Protestant Reformation (ego fidelis)</w:t>
        <w:br/>
        <w:t>D) Aristotelian deductive logic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B) European imperial conquest (ego conquiro). Grosfoguel argues Descartes' 'I think' was built on 150 years of 'I conquer'.</w:t>
      </w:r>
    </w:p>
    <w:p>
      <w:pPr>
        <w:spacing w:before="120" w:after="40"/>
      </w:pPr>
      <w:r>
        <w:rPr>
          <w:rFonts w:ascii="Arial" w:hAnsi="Arial"/>
          <w:b/>
          <w:sz w:val="20"/>
        </w:rPr>
        <w:t>2. Which of the following is NOT one of Grosfoguel's 'four epistemicides of the long 16th century'?</w:t>
      </w:r>
    </w:p>
    <w:p>
      <w:pPr>
        <w:spacing w:after="40"/>
        <w:ind w:left="360"/>
      </w:pPr>
      <w:r>
        <w:rPr>
          <w:rFonts w:ascii="Arial" w:hAnsi="Arial"/>
          <w:sz w:val="19"/>
        </w:rPr>
        <w:t>A) The conquest of Al-Andalus and expulsion of Muslims and Jews</w:t>
        <w:br/>
        <w:t>B) The burning of codices in the conquest of Abya Yala (Americas)</w:t>
        <w:br/>
        <w:t>C) The destruction of libraries during the French Revolution</w:t>
        <w:br/>
        <w:t>D) The European witch hunts targeting female healers and midwives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C) The French Revolution is 18th century and is not one of the four. The four are A-A-A-W (Al-Andalus, Americas, Africa, Witches).</w:t>
      </w:r>
    </w:p>
    <w:p>
      <w:pPr>
        <w:spacing w:before="120" w:after="40"/>
      </w:pPr>
      <w:r>
        <w:rPr>
          <w:rFonts w:ascii="Arial" w:hAnsi="Arial"/>
          <w:b/>
          <w:sz w:val="20"/>
        </w:rPr>
        <w:t>3. In 'The Memorial to Sir Wilfrid Laurier' (1910), the Chiefs argue that when Europeans first arrived, the relation was based on:</w:t>
      </w:r>
    </w:p>
    <w:p>
      <w:pPr>
        <w:spacing w:after="40"/>
        <w:ind w:left="360"/>
      </w:pPr>
      <w:r>
        <w:rPr>
          <w:rFonts w:ascii="Arial" w:hAnsi="Arial"/>
          <w:sz w:val="19"/>
        </w:rPr>
        <w:t>A) Immediate colonial surrender under the British North America Act</w:t>
        <w:br/>
        <w:t>B) An Indigenous host-guest relationship rooted in reciprocity</w:t>
        <w:br/>
        <w:t>C) The immediate sale of land for permanent railway construction</w:t>
        <w:br/>
        <w:t>D) The doctrine of terra nullius accepted by both parties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B) An Indigenous host-guest relationship rooted in reciprocity, which the Crown later unilaterally inverted into colonial domination.</w:t>
      </w:r>
    </w:p>
    <w:p>
      <w:pPr>
        <w:spacing w:before="120" w:after="40"/>
      </w:pPr>
      <w:r>
        <w:rPr>
          <w:rFonts w:ascii="Arial" w:hAnsi="Arial"/>
          <w:b/>
          <w:sz w:val="20"/>
        </w:rPr>
        <w:t>4. Patrick Wolfe's famous characterization of settler colonialism is that it is:</w:t>
      </w:r>
    </w:p>
    <w:p>
      <w:pPr>
        <w:spacing w:after="40"/>
        <w:ind w:left="360"/>
      </w:pPr>
      <w:r>
        <w:rPr>
          <w:rFonts w:ascii="Arial" w:hAnsi="Arial"/>
          <w:sz w:val="19"/>
        </w:rPr>
        <w:t>A) An isolated historical event concluded with Confederation</w:t>
        <w:br/>
        <w:t>B) A benevolent treaty partnership aimed at mutual economic trade</w:t>
        <w:br/>
        <w:t>C) A structure, not an event, driven by a logic of elimination</w:t>
        <w:br/>
        <w:t>D) An extractive commercial system interested solely in domestic labor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C) 'A structure, not an event' driven by a 'logic of elimination' to permanently acquire Indigenous land.</w:t>
      </w:r>
    </w:p>
    <w:p>
      <w:pPr>
        <w:spacing w:before="120" w:after="40"/>
      </w:pPr>
      <w:r>
        <w:rPr>
          <w:rFonts w:ascii="Arial" w:hAnsi="Arial"/>
          <w:b/>
          <w:sz w:val="20"/>
        </w:rPr>
        <w:t>5. In Juzo Itami's 'Tampopo' (1985), the primary genre being parodied through the narrative of ramen cooking is:</w:t>
      </w:r>
    </w:p>
    <w:p>
      <w:pPr>
        <w:spacing w:after="40"/>
        <w:ind w:left="360"/>
      </w:pPr>
      <w:r>
        <w:rPr>
          <w:rFonts w:ascii="Arial" w:hAnsi="Arial"/>
          <w:sz w:val="19"/>
        </w:rPr>
        <w:t>A) The Japanese Samurai epic (Chambara)</w:t>
        <w:br/>
        <w:t>B) The American Western (specifically films like Shane)</w:t>
        <w:br/>
        <w:t>C) The European kitchen-sink domestic melodrama</w:t>
        <w:br/>
        <w:t>D) The Hollywood mobster film noir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B) The American Western ('Ramen Western'). Truck drivers wearing cowboy hats help a widow defend and rebuild her establishment.</w:t>
      </w:r>
    </w:p>
    <w:p>
      <w:pPr>
        <w:spacing w:before="120" w:after="40"/>
      </w:pPr>
      <w:r>
        <w:rPr>
          <w:rFonts w:ascii="Arial" w:hAnsi="Arial"/>
          <w:b/>
          <w:sz w:val="20"/>
        </w:rPr>
        <w:t>6. In 'Eat Drink Man Woman' (1994), what physical ailment symbolizes Master Chef Chu's emotional alienation from his family?</w:t>
      </w:r>
    </w:p>
    <w:p>
      <w:pPr>
        <w:spacing w:after="40"/>
        <w:ind w:left="360"/>
      </w:pPr>
      <w:r>
        <w:rPr>
          <w:rFonts w:ascii="Arial" w:hAnsi="Arial"/>
          <w:sz w:val="19"/>
        </w:rPr>
        <w:t>A) He goes blind in his left eye</w:t>
        <w:br/>
        <w:t>B) He develops severe arthritis in his knife hand</w:t>
        <w:br/>
        <w:t>C) He loses his sense of taste and smell</w:t>
        <w:br/>
        <w:t>D) He suffers from chronic heart palpitations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C) He loses his sense of taste and smell. He can produce master technique visually, but cannot taste the food or express warmth to his daughters.</w:t>
      </w:r>
    </w:p>
    <w:p>
      <w:pPr>
        <w:spacing w:before="120" w:after="40"/>
      </w:pPr>
      <w:r>
        <w:rPr>
          <w:rFonts w:ascii="Arial" w:hAnsi="Arial"/>
          <w:b/>
          <w:sz w:val="20"/>
        </w:rPr>
        <w:t>7. In Scott McCloud's comics theory, the cognitive act of mentally completing what is happening between two panels is called:</w:t>
      </w:r>
    </w:p>
    <w:p>
      <w:pPr>
        <w:spacing w:after="40"/>
        <w:ind w:left="360"/>
      </w:pPr>
      <w:r>
        <w:rPr>
          <w:rFonts w:ascii="Arial" w:hAnsi="Arial"/>
          <w:sz w:val="19"/>
        </w:rPr>
        <w:t>A) Iconicity</w:t>
        <w:br/>
        <w:t>B) Closure</w:t>
        <w:br/>
        <w:t>C) Suture</w:t>
        <w:br/>
        <w:t>D) Diegesis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B) Closure. The reader's imagination actively constructs continuous reality within the empty space of the gutter.</w:t>
      </w:r>
    </w:p>
    <w:p>
      <w:pPr>
        <w:spacing w:before="120" w:after="40"/>
      </w:pPr>
      <w:r>
        <w:rPr>
          <w:rFonts w:ascii="Arial" w:hAnsi="Arial"/>
          <w:b/>
          <w:sz w:val="20"/>
        </w:rPr>
        <w:t>8. Under Section 141 of the Canadian Indian Act (passed in 1927), it was a criminal offence to:</w:t>
      </w:r>
    </w:p>
    <w:p>
      <w:pPr>
        <w:spacing w:after="40"/>
        <w:ind w:left="360"/>
      </w:pPr>
      <w:r>
        <w:rPr>
          <w:rFonts w:ascii="Arial" w:hAnsi="Arial"/>
          <w:sz w:val="19"/>
        </w:rPr>
        <w:t>A) Speak Indigenous languages off-reserve</w:t>
        <w:br/>
        <w:t>B) Hire a lawyer or raise money to pursue Indigenous land claims in court</w:t>
        <w:br/>
        <w:t>C) Hunt and fish outside treaty seasons</w:t>
        <w:br/>
        <w:t>D) Sell agricultural produce at local town markets</w:t>
      </w:r>
    </w:p>
    <w:p>
      <w:pPr>
        <w:spacing w:after="120"/>
        <w:ind w:left="360"/>
      </w:pPr>
      <w:r>
        <w:rPr>
          <w:rFonts w:ascii="Arial" w:hAnsi="Arial"/>
          <w:b/>
          <w:color w:val="006600"/>
          <w:sz w:val="18"/>
        </w:rPr>
        <w:t>👉 CORRECT: B) Hire a lawyer or raise money to pursue land claims. It legally muzzled First Nations from asserting their legal title.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