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Research Assistant project overview</w:t>
      </w:r>
    </w:p>
    <w:p>
      <w:pPr>
        <w:spacing w:after="120"/>
      </w:pPr>
      <w:r>
        <w:t>My agent helps product managers compare three competitors’ capabilities in a Streamlit web app, replacing repeated web searches, copied notes and a manually written briefing that I estimate take about two hours. It resolves the selected companies, researches their products and news, checks the evidence, and writes a briefing using three tools: Tavily Search, the OpenRouter model API and local file storage. It hands the findings to the PM for source checks and judgment; I’ll consider it successful when a PM can finish a usable comparison in under 10 minutes in at least 8 of 10 research trials.</w:t>
      </w:r>
    </w:p>
    <w:p>
      <w:pPr>
        <w:spacing w:after="240"/>
      </w:pPr>
      <w:r>
        <w:rPr>
          <w:i/>
          <w:sz w:val="19"/>
        </w:rPr>
        <w:t>The two-hour baseline and the 10-minute, 80% success target are working assumptions to validate, not measured results.</w:t>
      </w:r>
    </w:p>
    <w:tbl>
      <w:tblPr>
        <w:tblW w:type="auto" w:w="0"/>
        <w:jc w:val="center"/>
        <w:tblLayout w:type="fixed"/>
        <w:tblLook w:firstColumn="1" w:firstRow="1" w:lastColumn="0" w:lastRow="0" w:noHBand="0" w:noVBand="1" w:val="04A0"/>
      </w:tblPr>
      <w:tblGrid>
        <w:gridCol w:w="2333"/>
        <w:gridCol w:w="7560"/>
      </w:tblGrid>
      <w:tr>
        <w:trPr>
          <w:tblHeader/>
          <w:cantSplit/>
        </w:trPr>
        <w:tc>
          <w:tcPr>
            <w:tcW w:type="dxa" w:w="2333"/>
            <w:shd w:fill="E9EDF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b/>
                <w:sz w:val="20"/>
              </w:rPr>
              <w:t>Field</w:t>
            </w:r>
          </w:p>
        </w:tc>
        <w:tc>
          <w:tcPr>
            <w:tcW w:type="dxa" w:w="7560"/>
            <w:shd w:fill="E9EDF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b/>
                <w:sz w:val="20"/>
              </w:rPr>
              <w:t>Project definition</w:t>
            </w:r>
          </w:p>
        </w:tc>
      </w:tr>
      <w:tr>
        <w:trPr>
          <w:cantSplit/>
        </w:trPr>
        <w:tc>
          <w:tcPr>
            <w:tcW w:type="dxa" w:w="2333"/>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b/>
                <w:sz w:val="20"/>
              </w:rPr>
              <w:t>Agent goal</w:t>
            </w:r>
          </w:p>
        </w:tc>
        <w:tc>
          <w:tcPr>
            <w:tcW w:type="dxa" w:w="75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sz w:val="20"/>
              </w:rPr>
              <w:t>Turn a PM’s research question and three named competitors into a cited, feature-focused briefing that supports a product decision.</w:t>
            </w:r>
          </w:p>
        </w:tc>
      </w:tr>
      <w:tr>
        <w:trPr>
          <w:cantSplit/>
        </w:trPr>
        <w:tc>
          <w:tcPr>
            <w:tcW w:type="dxa" w:w="2333"/>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b/>
                <w:sz w:val="20"/>
              </w:rPr>
              <w:t>Where do people use it?</w:t>
            </w:r>
          </w:p>
        </w:tc>
        <w:tc>
          <w:tcPr>
            <w:tcW w:type="dxa" w:w="75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sz w:val="20"/>
              </w:rPr>
              <w:t>In a Streamlit web app, with separate views for new research and saved searches. The Briefing explains cross-competitor implications; Competitor Profiles hold the supporting features, positioning, news and evidence gaps.</w:t>
            </w:r>
          </w:p>
        </w:tc>
      </w:tr>
      <w:tr>
        <w:trPr>
          <w:cantSplit/>
        </w:trPr>
        <w:tc>
          <w:tcPr>
            <w:tcW w:type="dxa" w:w="2333"/>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b/>
                <w:sz w:val="20"/>
              </w:rPr>
              <w:t>What steps does it take, in order?</w:t>
            </w:r>
          </w:p>
        </w:tc>
        <w:tc>
          <w:tcPr>
            <w:tcW w:type="dxa" w:w="75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sz w:val="20"/>
              </w:rPr>
              <w:t>1) Take the company, competitors, optional website URLs and feature focus; 2) resolve competitor identities; 3) run three competitor teams in parallel, each gathering, extracting and reviewing evidence; 4) collate all three reports and write the briefing; 5) save the completed result for PM review.</w:t>
            </w:r>
          </w:p>
        </w:tc>
      </w:tr>
      <w:tr>
        <w:trPr>
          <w:cantSplit/>
        </w:trPr>
        <w:tc>
          <w:tcPr>
            <w:tcW w:type="dxa" w:w="2333"/>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b/>
                <w:sz w:val="20"/>
              </w:rPr>
              <w:t>What can it actually do?</w:t>
            </w:r>
          </w:p>
        </w:tc>
        <w:tc>
          <w:tcPr>
            <w:tcW w:type="dxa" w:w="75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sz w:val="20"/>
              </w:rPr>
              <w:t>Look up company identities, features and news through Tavily [lookup]; extract and compare evidence through OpenRouter [analysis, no source changes]; reopen saved searches and sources [lookup]; save completed Markdown and JSON briefings [local write]; record the PM’s review and measured task time [local update]. It does not send, publish or edit anything on competitor websites.</w:t>
            </w:r>
          </w:p>
        </w:tc>
      </w:tr>
      <w:tr>
        <w:trPr>
          <w:cantSplit/>
        </w:trPr>
        <w:tc>
          <w:tcPr>
            <w:tcW w:type="dxa" w:w="2333"/>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b/>
                <w:sz w:val="20"/>
              </w:rPr>
              <w:t>What does it need to remember?</w:t>
            </w:r>
          </w:p>
        </w:tc>
        <w:tc>
          <w:tcPr>
            <w:tcW w:type="dxa" w:w="75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sz w:val="20"/>
              </w:rPr>
              <w:t>During a run, it holds the research scope, evidence, findings and agent progress in memory. Across sessions, it retains completed briefings, source links, request details and any human review on disk; interrupted runs are not saved.</w:t>
            </w:r>
          </w:p>
        </w:tc>
      </w:tr>
      <w:tr>
        <w:trPr>
          <w:cantSplit/>
        </w:trPr>
        <w:tc>
          <w:tcPr>
            <w:tcW w:type="dxa" w:w="2333"/>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b/>
                <w:sz w:val="20"/>
              </w:rPr>
              <w:t>What should it never do?</w:t>
            </w:r>
          </w:p>
        </w:tc>
        <w:tc>
          <w:tcPr>
            <w:tcW w:type="dxa" w:w="75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sz w:val="20"/>
              </w:rPr>
              <w:t>Never invent findings, replace the PM’s chosen competitors, expose credentials, research pricing or treat missing evidence as proof that a feature is absent. It must not publish findings, delete saved records or change a product roadmap on the PM’s behalf.</w:t>
            </w:r>
          </w:p>
        </w:tc>
      </w:tr>
      <w:tr>
        <w:trPr>
          <w:cantSplit/>
        </w:trPr>
        <w:tc>
          <w:tcPr>
            <w:tcW w:type="dxa" w:w="2333"/>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b/>
                <w:sz w:val="20"/>
              </w:rPr>
              <w:t>Human-in-the-loop</w:t>
            </w:r>
          </w:p>
        </w:tc>
        <w:tc>
          <w:tcPr>
            <w:tcW w:type="dxa" w:w="75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sz w:val="20"/>
              </w:rPr>
              <w:t>The PM sets the scope before the run and reviews source links, evidence gaps and recommendations after the briefing is ready. They can mark it usable or needing changes, leave notes, record task time, and rerun with a revised feature focus; this review is not a gate before automatic local saving.</w:t>
            </w:r>
          </w:p>
        </w:tc>
      </w:tr>
      <w:tr>
        <w:trPr>
          <w:cantSplit/>
        </w:trPr>
        <w:tc>
          <w:tcPr>
            <w:tcW w:type="dxa" w:w="2333"/>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b/>
                <w:sz w:val="20"/>
              </w:rPr>
              <w:t>What happens when something breaks?</w:t>
            </w:r>
          </w:p>
        </w:tc>
        <w:tc>
          <w:tcPr>
            <w:tcW w:type="dxa" w:w="75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sz w:val="20"/>
              </w:rPr>
              <w:t>Transient Tavily failures get up to three attempts, model calls get up to two retries, and missing feature or news coverage gets one targeted research pass. Remaining gaps are reported; an unresolved company identity, model failure or incomplete pipeline stops the run without saving a new search, while previous completed searches remain available.</w:t>
            </w:r>
          </w:p>
        </w:tc>
      </w:tr>
      <w:tr>
        <w:trPr>
          <w:cantSplit/>
        </w:trPr>
        <w:tc>
          <w:tcPr>
            <w:tcW w:type="dxa" w:w="2333"/>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b/>
                <w:sz w:val="20"/>
              </w:rPr>
              <w:t>How do you know it worked?</w:t>
            </w:r>
          </w:p>
        </w:tc>
        <w:tc>
          <w:tcPr>
            <w:tcW w:type="dxa" w:w="75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7" w:lineRule="auto"/>
            </w:pPr>
            <w:r>
              <w:rPr>
                <w:sz w:val="20"/>
              </w:rPr>
              <w:t>Target: at least 8 of 10 predefined research trials produce a PM-reviewed, usable briefing in under 10 minutes, counting input and review time. A usable result covers all three competitors, cites its findings, addresses the feature question or states evidence gaps, and needs no material factual correction.</w:t>
            </w:r>
          </w:p>
        </w:tc>
      </w:tr>
    </w:tbl>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Research Assistant project overview</dc:title>
  <dc:subject>Market Research Assistant purpose workflow and acceptance criteria</dc:subject>
  <dc:creator/>
  <cp:keywords>competitor research product management LangGraph Tavily OpenRouter</cp:keywords>
  <dc:description>generated by python-docx</dc:description>
  <cp:lastModifiedBy/>
  <cp:revision>1</cp:revision>
  <dcterms:created xsi:type="dcterms:W3CDTF">2013-12-23T23:15:00Z</dcterms:created>
  <dcterms:modified xsi:type="dcterms:W3CDTF">2013-12-23T23:15:00Z</dcterms:modified>
  <cp:category/>
</cp:coreProperties>
</file>