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eplabel"/>
      </w:pPr>
      <w:r>
        <w:t>BuLLM / architecture documentation</w:t>
      </w:r>
    </w:p>
    <w:p>
      <w:pPr>
        <w:pStyle w:val="Title"/>
      </w:pPr>
      <w:r>
        <w:t>SBAM: build, validation &amp; certification</w:t>
      </w:r>
    </w:p>
    <w:p>
      <w:pPr>
        <w:pStyle w:val="Smallnote"/>
      </w:pPr>
      <w:r>
        <w:t>Four-step process | Developer-team working document | 28 September 2026</w:t>
      </w:r>
    </w:p>
    <w:p>
      <w:pPr>
        <w:pStyle w:val="Heading1"/>
      </w:pPr>
      <w:r>
        <w:t>Where SBAM fits</w:t>
      </w:r>
    </w:p>
    <w:p>
      <w:r>
        <w:t>The shared API backend connects the architecture. SBAM is the build-time test, validation and certification core - the crux of the flow. SRIM is the runtime and receives only the certified, frozen manifest. BuLLML is the intelligence layer. BuLLMind provides reporting, analytics and dashboards. This document defines the SBAM portion, not runtime deployment.</w:t>
      </w:r>
    </w:p>
    <w:p>
      <w:pPr>
        <w:pStyle w:val="Smallnote"/>
      </w:pPr>
      <w:r>
        <w:t>Flow alignment: these four stages map to steps 1-9 of the 12-step developer flow (numbered 0-8 in the detailed version), from ingestion through the certified manifest handover to SRIM.</w:t>
      </w:r>
    </w:p>
    <w:p>
      <w:pPr>
        <w:pStyle w:val="Heading1"/>
      </w:pPr>
      <w:r>
        <w:t>1  Ingestion &amp; SOW generation</w:t>
      </w:r>
    </w:p>
    <w:p>
      <w:r>
        <w:t>Tech: Cognee ECL, Open Knowledge Format (OKF), Bifrost LLM gateway.</w:t>
      </w:r>
    </w:p>
    <w:p>
      <w:pPr>
        <w:ind w:left="245" w:hanging="245"/>
      </w:pPr>
      <w:r>
        <w:rPr>
          <w:b/>
        </w:rPr>
        <w:t xml:space="preserve">a. Discovery ingestion.  </w:t>
      </w:r>
      <w:r>
        <w:t>Load client artifacts such as meeting notes, CAD specifications, ERP tables and legacy SOWs into Cognee.</w:t>
      </w:r>
    </w:p>
    <w:p>
      <w:pPr>
        <w:ind w:left="245" w:hanging="245"/>
      </w:pPr>
      <w:r>
        <w:rPr>
          <w:b/>
        </w:rPr>
        <w:t xml:space="preserve">b. Graph mapping.  </w:t>
      </w:r>
      <w:r>
        <w:t>Run Cognee Extract-Cognify-Load (ECL) to turn source material into an OKF graph bundle for retrieval and reasoning.</w:t>
      </w:r>
    </w:p>
    <w:p>
      <w:pPr>
        <w:ind w:left="245" w:hanging="245"/>
      </w:pPr>
      <w:r>
        <w:rPr>
          <w:b/>
        </w:rPr>
        <w:t xml:space="preserve">c. LLM gateway.  </w:t>
      </w:r>
      <w:r>
        <w:t>Route the extracted context to the LLM through Bifrost for rate limits, cost tracking and provider failover.</w:t>
      </w:r>
    </w:p>
    <w:p>
      <w:pPr>
        <w:ind w:left="245" w:hanging="245"/>
      </w:pPr>
      <w:r>
        <w:rPr>
          <w:b/>
        </w:rPr>
        <w:t xml:space="preserve">d. SOW generation.  </w:t>
      </w:r>
      <w:r>
        <w:t>Use the graph context to draft a structured Statement of Work (SOW) from the company or client template for review. It is not approved yet.</w:t>
      </w:r>
    </w:p>
    <w:p>
      <w:pPr>
        <w:pStyle w:val="Smallnote"/>
      </w:pPr>
      <w:r>
        <w:t xml:space="preserve">Cognee: </w:t>
      </w:r>
      <w:hyperlink r:id="rId9">
        <w:r>
          <w:rPr>
            <w:color w:val="1F6F5E"/>
            <w:u w:val="single"/>
          </w:rPr>
          <w:t>https://github.com/topoteretes/cognee</w:t>
        </w:r>
      </w:hyperlink>
    </w:p>
    <w:p>
      <w:pPr>
        <w:pStyle w:val="Smallnote"/>
      </w:pPr>
      <w:r>
        <w:t xml:space="preserve">Open Knowledge Format: </w:t>
      </w:r>
      <w:hyperlink r:id="rId10">
        <w:r>
          <w:rPr>
            <w:color w:val="1F6F5E"/>
            <w:u w:val="single"/>
          </w:rPr>
          <w:t>https://github.com/GoogleCloudPlatform/open-knowledge-format</w:t>
        </w:r>
      </w:hyperlink>
    </w:p>
    <w:p>
      <w:pPr>
        <w:pStyle w:val="Smallnote"/>
      </w:pPr>
      <w:r>
        <w:t xml:space="preserve">Bifrost: </w:t>
      </w:r>
      <w:hyperlink r:id="rId11">
        <w:r>
          <w:rPr>
            <w:color w:val="1F6F5E"/>
            <w:u w:val="single"/>
          </w:rPr>
          <w:t>https://github.com/maximhq/bifrost</w:t>
        </w:r>
      </w:hyperlink>
    </w:p>
    <w:p>
      <w:pPr>
        <w:pStyle w:val="Heading1"/>
      </w:pPr>
      <w:r>
        <w:t>2  Approved SOW to ISATVON workbench</w:t>
      </w:r>
    </w:p>
    <w:p>
      <w:r>
        <w:t>Tech: Pydantic AI, Pydantic schemas, FastAPI, openpyxl, Refine.dev data provider, AG Grid.</w:t>
      </w:r>
    </w:p>
    <w:p>
      <w:pPr>
        <w:ind w:left="245" w:hanging="245"/>
      </w:pPr>
      <w:r>
        <w:rPr>
          <w:b/>
        </w:rPr>
        <w:t xml:space="preserve">a. Approval gate.  </w:t>
      </w:r>
      <w:r>
        <w:t>Obtain formal internal-manager or client commercial approval of the SOW before conversion. Keep the approval timestamp with the SOW.</w:t>
      </w:r>
    </w:p>
    <w:p>
      <w:pPr>
        <w:ind w:left="245" w:hanging="245"/>
      </w:pPr>
      <w:r>
        <w:rPr>
          <w:b/>
        </w:rPr>
        <w:t xml:space="preserve">b. Dual-context parsing.  </w:t>
      </w:r>
      <w:r>
        <w:t>Use the approved SOW and its discovery documents from Cognee together as the input to row extraction.</w:t>
      </w:r>
    </w:p>
    <w:p>
      <w:pPr>
        <w:ind w:left="245" w:hanging="245"/>
      </w:pPr>
      <w:r>
        <w:rPr>
          <w:b/>
        </w:rPr>
        <w:t xml:space="preserve">c. Structured extraction.  </w:t>
      </w:r>
      <w:r>
        <w:t>Use Pydantic AI to produce a typed JSON row array of macro-skills and sub-skills against Pydantic ISATVON definitions. A FastAPI endpoint returns the validated rows. This replaces Instructor throughout this process.</w:t>
      </w:r>
    </w:p>
    <w:p>
      <w:pPr>
        <w:ind w:left="245" w:hanging="245"/>
      </w:pPr>
      <w:r>
        <w:rPr>
          <w:b/>
        </w:rPr>
        <w:t xml:space="preserve">d. Spreadsheet and grid.  </w:t>
      </w:r>
      <w:r>
        <w:t>Use openpyxl to render or update the spreadsheet from the typed rows. Expose a custom Refine data-provider endpoint (for example, useSowIngestProvider); in the Vite + Refine application, use useCustom for the request and loading state, then display and edit the rows in AG Grid. Refine manages validation feedback, cache invalidation and grid-state synchronization.</w:t>
      </w:r>
    </w:p>
    <w:p>
      <w:pPr>
        <w:pageBreakBefore/>
      </w:pPr>
      <w:r>
        <w:t>Each macro/sub-skill row must carry the seven ISATVON fields:</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E9F3F0"/>
          </w:tcPr>
          <w:p>
            <w:pPr>
              <w:spacing w:after="40" w:before="40"/>
            </w:pPr>
            <w:r>
              <w:rPr>
                <w:b/>
                <w:color w:val="1F6F5E"/>
                <w:sz w:val="16"/>
              </w:rPr>
              <w:t>Field</w:t>
            </w:r>
          </w:p>
        </w:tc>
        <w:tc>
          <w:tcPr>
            <w:tcW w:type="dxa" w:w="7704"/>
            <w:vAlign w:val="center"/>
            <w:shd w:fill="E9F3F0"/>
          </w:tcPr>
          <w:p>
            <w:pPr>
              <w:spacing w:after="40" w:before="40"/>
            </w:pPr>
            <w:r>
              <w:rPr>
                <w:b/>
                <w:color w:val="1F6F5E"/>
                <w:sz w:val="16"/>
              </w:rPr>
              <w:t>Contract meaning / example</w:t>
            </w:r>
          </w:p>
        </w:tc>
      </w:tr>
      <w:tr>
        <w:tc>
          <w:tcPr>
            <w:tcW w:type="dxa" w:w="2160"/>
            <w:vAlign w:val="center"/>
          </w:tcPr>
          <w:p>
            <w:pPr>
              <w:spacing w:after="40" w:before="40"/>
            </w:pPr>
            <w:r>
              <w:rPr>
                <w:sz w:val="16"/>
              </w:rPr>
              <w:t>I - Instructions</w:t>
            </w:r>
          </w:p>
        </w:tc>
        <w:tc>
          <w:tcPr>
            <w:tcW w:type="dxa" w:w="7704"/>
            <w:vAlign w:val="center"/>
          </w:tcPr>
          <w:p>
            <w:pPr>
              <w:spacing w:after="40" w:before="40"/>
            </w:pPr>
            <w:r>
              <w:rPr>
                <w:sz w:val="16"/>
              </w:rPr>
              <w:t>Step-by-step business logic, micro-prompts or process requirements; e.g., calculate landed cost with freight and tariffs.</w:t>
            </w:r>
          </w:p>
        </w:tc>
      </w:tr>
      <w:tr>
        <w:tc>
          <w:tcPr>
            <w:tcW w:type="dxa" w:w="2160"/>
            <w:vAlign w:val="center"/>
          </w:tcPr>
          <w:p>
            <w:pPr>
              <w:spacing w:after="40" w:before="40"/>
            </w:pPr>
            <w:r>
              <w:rPr>
                <w:sz w:val="16"/>
              </w:rPr>
              <w:t>S - Source Data</w:t>
            </w:r>
          </w:p>
        </w:tc>
        <w:tc>
          <w:tcPr>
            <w:tcW w:type="dxa" w:w="7704"/>
            <w:vAlign w:val="center"/>
          </w:tcPr>
          <w:p>
            <w:pPr>
              <w:spacing w:after="40" w:before="40"/>
            </w:pPr>
            <w:r>
              <w:rPr>
                <w:sz w:val="16"/>
              </w:rPr>
              <w:t>Explicit input pointers: file paths, S3 URIs, database schema references or spreadsheet cell ranges.</w:t>
            </w:r>
          </w:p>
        </w:tc>
      </w:tr>
      <w:tr>
        <w:tc>
          <w:tcPr>
            <w:tcW w:type="dxa" w:w="2160"/>
            <w:vAlign w:val="center"/>
          </w:tcPr>
          <w:p>
            <w:pPr>
              <w:spacing w:after="40" w:before="40"/>
            </w:pPr>
            <w:r>
              <w:rPr>
                <w:sz w:val="16"/>
              </w:rPr>
              <w:t>A - Automation</w:t>
            </w:r>
          </w:p>
        </w:tc>
        <w:tc>
          <w:tcPr>
            <w:tcW w:type="dxa" w:w="7704"/>
            <w:vAlign w:val="center"/>
          </w:tcPr>
          <w:p>
            <w:pPr>
              <w:spacing w:after="40" w:before="40"/>
            </w:pPr>
            <w:r>
              <w:rPr>
                <w:sz w:val="16"/>
              </w:rPr>
              <w:t>Transformation engine, execution mode and integration depth; e.g., UNSTRUCTURED_TO_SOW_LLM, SOW_TO_EXCEL_MCP, EXCEL_TO_JSON_AST, JSON_TO_PYTHON_JINJA2.</w:t>
            </w:r>
          </w:p>
        </w:tc>
      </w:tr>
      <w:tr>
        <w:tc>
          <w:tcPr>
            <w:tcW w:type="dxa" w:w="2160"/>
            <w:vAlign w:val="center"/>
          </w:tcPr>
          <w:p>
            <w:pPr>
              <w:spacing w:after="40" w:before="40"/>
            </w:pPr>
            <w:r>
              <w:rPr>
                <w:sz w:val="16"/>
              </w:rPr>
              <w:t>T - Tech Stack</w:t>
            </w:r>
          </w:p>
        </w:tc>
        <w:tc>
          <w:tcPr>
            <w:tcW w:type="dxa" w:w="7704"/>
            <w:vAlign w:val="center"/>
          </w:tcPr>
          <w:p>
            <w:pPr>
              <w:spacing w:after="40" w:before="40"/>
            </w:pPr>
            <w:r>
              <w:rPr>
                <w:sz w:val="16"/>
              </w:rPr>
              <w:t>Required libraries, tools and service runtimes, such as FastMCP, openpyxl, DuckDB and PostgreSQL.</w:t>
            </w:r>
          </w:p>
        </w:tc>
      </w:tr>
      <w:tr>
        <w:tc>
          <w:tcPr>
            <w:tcW w:type="dxa" w:w="2160"/>
            <w:vAlign w:val="center"/>
          </w:tcPr>
          <w:p>
            <w:pPr>
              <w:spacing w:after="40" w:before="40"/>
            </w:pPr>
            <w:r>
              <w:rPr>
                <w:sz w:val="16"/>
              </w:rPr>
              <w:t>V - Variables</w:t>
            </w:r>
          </w:p>
        </w:tc>
        <w:tc>
          <w:tcPr>
            <w:tcW w:type="dxa" w:w="7704"/>
            <w:vAlign w:val="center"/>
          </w:tcPr>
          <w:p>
            <w:pPr>
              <w:spacing w:after="40" w:before="40"/>
            </w:pPr>
            <w:r>
              <w:rPr>
                <w:sz w:val="16"/>
              </w:rPr>
              <w:t>Typed key-value parameters, constants, target cells, configuration, split ratios and formulas. Cell edits should be checked against the contract.</w:t>
            </w:r>
          </w:p>
        </w:tc>
      </w:tr>
      <w:tr>
        <w:tc>
          <w:tcPr>
            <w:tcW w:type="dxa" w:w="2160"/>
            <w:vAlign w:val="center"/>
          </w:tcPr>
          <w:p>
            <w:pPr>
              <w:spacing w:after="40" w:before="40"/>
            </w:pPr>
            <w:r>
              <w:rPr>
                <w:sz w:val="16"/>
              </w:rPr>
              <w:t>O - Outcome</w:t>
            </w:r>
          </w:p>
        </w:tc>
        <w:tc>
          <w:tcPr>
            <w:tcW w:type="dxa" w:w="7704"/>
            <w:vAlign w:val="center"/>
          </w:tcPr>
          <w:p>
            <w:pPr>
              <w:spacing w:after="40" w:before="40"/>
            </w:pPr>
            <w:r>
              <w:rPr>
                <w:sz w:val="16"/>
              </w:rPr>
              <w:t>Exact deliverable or typed JSON schema: an 8D quality report, BOM matrix or pricing comparison, for example.</w:t>
            </w:r>
          </w:p>
        </w:tc>
      </w:tr>
      <w:tr>
        <w:tc>
          <w:tcPr>
            <w:tcW w:type="dxa" w:w="2160"/>
            <w:vAlign w:val="center"/>
          </w:tcPr>
          <w:p>
            <w:pPr>
              <w:spacing w:after="40" w:before="40"/>
            </w:pPr>
            <w:r>
              <w:rPr>
                <w:sz w:val="16"/>
              </w:rPr>
              <w:t>N - Notifications</w:t>
            </w:r>
          </w:p>
        </w:tc>
        <w:tc>
          <w:tcPr>
            <w:tcW w:type="dxa" w:w="7704"/>
            <w:vAlign w:val="center"/>
          </w:tcPr>
          <w:p>
            <w:pPr>
              <w:spacing w:after="40" w:before="40"/>
            </w:pPr>
            <w:r>
              <w:rPr>
                <w:sz w:val="16"/>
              </w:rPr>
              <w:t>Task state (PARSED, MANIFEST_READY, TEST_PASSED; DEPLOYED is downstream), alerts, webhooks, HITL signoffs, status endpoints and callbacks.</w:t>
            </w:r>
          </w:p>
        </w:tc>
      </w:tr>
    </w:tbl>
    <w:p>
      <w:pPr>
        <w:spacing w:after="0"/>
      </w:pPr>
    </w:p>
    <w:p>
      <w:r>
        <w:t>Grid safeguards: derive dynamic columns only from a declared metadata schema, not arbitrary first-row keys; flatten or use path accessors for nested fields; show loading, empty and validation-error states so failed extraction never crashes rendering. Revalidate edits before generation.</w:t>
      </w:r>
    </w:p>
    <w:p>
      <w:pPr>
        <w:pStyle w:val="Smallnote"/>
      </w:pPr>
      <w:r>
        <w:t xml:space="preserve">Pydantic AI: </w:t>
      </w:r>
      <w:hyperlink r:id="rId12">
        <w:r>
          <w:rPr>
            <w:color w:val="1F6F5E"/>
            <w:u w:val="single"/>
          </w:rPr>
          <w:t>https://github.com/pydantic/pydantic-ai</w:t>
        </w:r>
      </w:hyperlink>
    </w:p>
    <w:p>
      <w:pPr>
        <w:pStyle w:val="Smallnote"/>
      </w:pPr>
      <w:r>
        <w:t xml:space="preserve">Refine: </w:t>
      </w:r>
      <w:hyperlink r:id="rId13">
        <w:r>
          <w:rPr>
            <w:color w:val="1F6F5E"/>
            <w:u w:val="single"/>
          </w:rPr>
          <w:t>https://github.com/refinedev/refine</w:t>
        </w:r>
      </w:hyperlink>
    </w:p>
    <w:p>
      <w:pPr>
        <w:pStyle w:val="Smallnote"/>
      </w:pPr>
      <w:r>
        <w:t xml:space="preserve">AG Grid: </w:t>
      </w:r>
      <w:hyperlink r:id="rId14">
        <w:r>
          <w:rPr>
            <w:color w:val="1F6F5E"/>
            <w:u w:val="single"/>
          </w:rPr>
          <w:t>https://github.com/ag-grid/ag-grid</w:t>
        </w:r>
      </w:hyperlink>
    </w:p>
    <w:p>
      <w:pPr>
        <w:pStyle w:val="Heading1"/>
      </w:pPr>
      <w:r>
        <w:t>3  Temporal validation orchestration</w:t>
      </w:r>
    </w:p>
    <w:p>
      <w:r>
        <w:t>The "Generate ISATVON Contract" action starts a durable Temporal validation workflow. Each activity returns traceable results to the workbench.</w:t>
      </w:r>
    </w:p>
    <w:p>
      <w:pPr>
        <w:ind w:left="245" w:hanging="245"/>
      </w:pPr>
      <w:r>
        <w:rPr>
          <w:b/>
        </w:rPr>
        <w:t xml:space="preserve">Activity A - contract validation.  </w:t>
      </w:r>
      <w:r>
        <w:t>Check the macro/sub-skill relationships and each ISATVON row against Pydantic definitions; reject incomplete or mistyped contracts.</w:t>
      </w:r>
    </w:p>
    <w:p>
      <w:pPr>
        <w:ind w:left="245" w:hanging="245"/>
      </w:pPr>
      <w:r>
        <w:rPr>
          <w:b/>
        </w:rPr>
        <w:t xml:space="preserve">Activity B - dependency and runtime check.  </w:t>
      </w:r>
      <w:r>
        <w:t>Verify requested tech_stack dependencies against the system registry, including Apache Superset, FastMCP and DBHub. This checks compatibility; it does not deploy the skill.</w:t>
      </w:r>
    </w:p>
    <w:p>
      <w:pPr>
        <w:ind w:left="245" w:hanging="245"/>
      </w:pPr>
      <w:r>
        <w:rPr>
          <w:b/>
        </w:rPr>
        <w:t xml:space="preserve">Activity C - code generation.  </w:t>
      </w:r>
      <w:r>
        <w:t>Feed validated parameters to Jinja2 .py.j2 templates, generate Python, then run ast.parse() for syntax validation. Handle import/dependency checks separately in Activity B or sandbox tests; ast.parse() alone does not resolve imports.</w:t>
      </w:r>
    </w:p>
    <w:p>
      <w:pPr>
        <w:ind w:left="245" w:hanging="245"/>
      </w:pPr>
      <w:r>
        <w:rPr>
          <w:b/>
        </w:rPr>
        <w:t xml:space="preserve">Activity D - retry and correction.  </w:t>
      </w:r>
      <w:r>
        <w:t>Retry transient failures under Temporal policy; route failed generation or validation back to the LLM for constrained self-correction. Return unresolved failures to the FDE for review rather than certifying them.</w:t>
      </w:r>
    </w:p>
    <w:p>
      <w:pPr>
        <w:pStyle w:val="Smallnote"/>
      </w:pPr>
      <w:r>
        <w:t xml:space="preserve">Temporal: </w:t>
      </w:r>
      <w:hyperlink r:id="rId15">
        <w:r>
          <w:rPr>
            <w:color w:val="1F6F5E"/>
            <w:u w:val="single"/>
          </w:rPr>
          <w:t>https://github.com/temporalio/temporal</w:t>
        </w:r>
      </w:hyperlink>
    </w:p>
    <w:p>
      <w:pPr>
        <w:pStyle w:val="Heading1"/>
        <w:pageBreakBefore/>
      </w:pPr>
      <w:r>
        <w:t>4  Sandbox testing &amp; certification</w:t>
      </w:r>
    </w:p>
    <w:p>
      <w:r>
        <w:t>Tech: CubeSandbox MicroVM, Promptfoo, Xyflow; final artifact: certified frozen manifest.</w:t>
      </w:r>
    </w:p>
    <w:p>
      <w:pPr>
        <w:ind w:left="245" w:hanging="245"/>
      </w:pPr>
      <w:r>
        <w:rPr>
          <w:b/>
        </w:rPr>
        <w:t xml:space="preserve">a. Isolated execution.  </w:t>
      </w:r>
      <w:r>
        <w:t>Temporal invokes the generated FastMCP tool with mock/test data in a CubeSandbox MicroVM. Capture run results and failure details without treating a sandbox pass as production deployment.</w:t>
      </w:r>
    </w:p>
    <w:p>
      <w:pPr>
        <w:ind w:left="245" w:hanging="245"/>
      </w:pPr>
      <w:r>
        <w:rPr>
          <w:b/>
        </w:rPr>
        <w:t xml:space="preserve">b. Assertion feedback.  </w:t>
      </w:r>
      <w:r>
        <w:t>Run Promptfoo assertion suites against the generated tool and return Pass/Fail badges and failure details to the AG Grid status column. A failed assertion routes back for correction and retest.</w:t>
      </w:r>
    </w:p>
    <w:p>
      <w:pPr>
        <w:ind w:left="245" w:hanging="245"/>
      </w:pPr>
      <w:r>
        <w:rPr>
          <w:b/>
        </w:rPr>
        <w:t xml:space="preserve">c. Workflow topology.  </w:t>
      </w:r>
      <w:r>
        <w:t>Retain the Xyflow DAG/topology as part of the validation record alongside the JSON contract and generated Python. Do not mistake this record for a runtime hot-reload.</w:t>
      </w:r>
    </w:p>
    <w:p>
      <w:pPr>
        <w:ind w:left="245" w:hanging="245"/>
      </w:pPr>
      <w:r>
        <w:rPr>
          <w:b/>
        </w:rPr>
        <w:t xml:space="preserve">d. Certification and handover.  </w:t>
      </w:r>
      <w:r>
        <w:t>Only after contract, dependency, code and sandbox assertion gates pass, assemble the certified manifest with the approved SOW and contract references, generated-code and DAG references, validation/test evidence and a version or content hash. Freeze that exact artifact against mutation and hand it to SRIM runtime. A changed row or code version requires another validation and certification pass.</w:t>
      </w:r>
    </w:p>
    <w:p>
      <w:pPr>
        <w:pStyle w:val="Smallnote"/>
      </w:pPr>
      <w:r>
        <w:t xml:space="preserve">CubeSandbox: </w:t>
      </w:r>
      <w:hyperlink r:id="rId16">
        <w:r>
          <w:rPr>
            <w:color w:val="1F6F5E"/>
            <w:u w:val="single"/>
          </w:rPr>
          <w:t>https://github.com/TencentCloud/CubeSandbox</w:t>
        </w:r>
      </w:hyperlink>
    </w:p>
    <w:p>
      <w:pPr>
        <w:pStyle w:val="Smallnote"/>
      </w:pPr>
      <w:r>
        <w:t xml:space="preserve">Promptfoo: </w:t>
      </w:r>
      <w:hyperlink r:id="rId17">
        <w:r>
          <w:rPr>
            <w:color w:val="1F6F5E"/>
            <w:u w:val="single"/>
          </w:rPr>
          <w:t>https://github.com/promptfoo/promptfoo</w:t>
        </w:r>
      </w:hyperlink>
    </w:p>
    <w:p>
      <w:pPr>
        <w:pStyle w:val="Smallnote"/>
      </w:pPr>
      <w:r>
        <w:t xml:space="preserve">Xyflow: </w:t>
      </w:r>
      <w:hyperlink r:id="rId18">
        <w:r>
          <w:rPr>
            <w:color w:val="1F6F5E"/>
            <w:u w:val="single"/>
          </w:rPr>
          <w:t>https://github.com/xyflow/xyflow</w:t>
        </w:r>
      </w:hyperlink>
    </w:p>
    <w:p>
      <w:pPr/>
      <w:r>
        <w:rPr>
          <w:b/>
          <w:color w:val="1F6F5E"/>
        </w:rPr>
        <w:t xml:space="preserve">SBAM ends here. </w:t>
      </w:r>
      <w:r>
        <w:t>PostgreSQL JSONB commit, WebSocket hot-reload and Accordion UI/Skill Palette activation belong to the SRIM/runtime-side flow. They are not SBAM’s final state or a substitute for the frozen certified handover.</w:t>
      </w:r>
    </w:p>
    <w:sectPr w:rsidR="00FC693F" w:rsidRPr="0006063C" w:rsidSect="00034616">
      <w:footerReference w:type="default" r:id="rId1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BuLLM  /  SBAM process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51F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251F21"/>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51F2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val="0"/>
      <w:color w:val="251F2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85254"/>
      <w:sz w:val="16"/>
    </w:rPr>
  </w:style>
  <w:style w:type="paragraph" w:customStyle="1" w:styleId="Steplabel">
    <w:name w:val="Step label"/>
    <w:rPr>
      <w:rFonts w:ascii="Aptos" w:hAnsi="Aptos"/>
      <w:b/>
      <w:color w:val="1F6F5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opoteretes/cognee" TargetMode="External"/><Relationship Id="rId10" Type="http://schemas.openxmlformats.org/officeDocument/2006/relationships/hyperlink" Target="https://github.com/GoogleCloudPlatform/open-knowledge-format" TargetMode="External"/><Relationship Id="rId11" Type="http://schemas.openxmlformats.org/officeDocument/2006/relationships/hyperlink" Target="https://github.com/maximhq/bifrost" TargetMode="External"/><Relationship Id="rId12" Type="http://schemas.openxmlformats.org/officeDocument/2006/relationships/hyperlink" Target="https://github.com/pydantic/pydantic-ai" TargetMode="External"/><Relationship Id="rId13" Type="http://schemas.openxmlformats.org/officeDocument/2006/relationships/hyperlink" Target="https://github.com/refinedev/refine" TargetMode="External"/><Relationship Id="rId14" Type="http://schemas.openxmlformats.org/officeDocument/2006/relationships/hyperlink" Target="https://github.com/ag-grid/ag-grid" TargetMode="External"/><Relationship Id="rId15" Type="http://schemas.openxmlformats.org/officeDocument/2006/relationships/hyperlink" Target="https://github.com/temporalio/temporal" TargetMode="External"/><Relationship Id="rId16" Type="http://schemas.openxmlformats.org/officeDocument/2006/relationships/hyperlink" Target="https://github.com/TencentCloud/CubeSandbox" TargetMode="External"/><Relationship Id="rId17" Type="http://schemas.openxmlformats.org/officeDocument/2006/relationships/hyperlink" Target="https://github.com/promptfoo/promptfoo" TargetMode="External"/><Relationship Id="rId18" Type="http://schemas.openxmlformats.org/officeDocument/2006/relationships/hyperlink" Target="https://github.com/xyflow/xyflow"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