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F2A44"/>
          <w:sz w:val="44"/>
          <w:szCs w:val="44"/>
        </w:rPr>
        <w:t xml:space="preserve">WorkWorld — Merchandise Planning &amp; Operations</w:t>
      </w:r>
    </w:p>
    <w:p>
      <w:pPr>
        <w:spacing w:after="120"/>
        <w:jc w:val="center"/>
      </w:pPr>
      <w:r>
        <w:rPr>
          <w:color w:val="2E5BFF"/>
          <w:sz w:val="30"/>
          <w:szCs w:val="30"/>
        </w:rPr>
        <w:t xml:space="preserve">Demo Talking Points by Module &amp; Visual</w:t>
      </w:r>
    </w:p>
    <w:p>
      <w:pPr>
        <w:spacing w:after="2000"/>
        <w:jc w:val="center"/>
      </w:pPr>
      <w:r>
        <w:rPr>
          <w:color w:val="5A6880"/>
          <w:sz w:val="22"/>
          <w:szCs w:val="22"/>
        </w:rPr>
        <w:t xml:space="preserve">Purpose · Logic · Data sources for every screen element</w:t>
      </w:r>
    </w:p>
    <w:p>
      <w:pPr>
        <w:jc w:val="center"/>
      </w:pPr>
      <w:r>
        <w:rPr>
          <w:color w:val="5A6880"/>
          <w:sz w:val="20"/>
          <w:szCs w:val="20"/>
        </w:rPr>
        <w:t xml:space="preserve">Gart Companies / WorkWorld · SolutionSet · Demo build WW-2026-DEMO-BASE (v0-0006)</w:t>
      </w:r>
    </w:p>
    <w:p>
      <w:pPr>
        <w:jc w:val="center"/>
      </w:pPr>
      <w:r>
        <w:rPr>
          <w:color w:val="5A6880"/>
          <w:sz w:val="20"/>
          <w:szCs w:val="20"/>
        </w:rPr>
        <w:t xml:space="preserve">July 2026 — demo data anchored to 2026-07-14</w:t>
      </w:r>
    </w:p>
    <w:p>
      <w:r>
        <w:br w:type="page"/>
      </w:r>
    </w:p>
    <w:p>
      <w:pPr>
        <w:pStyle w:val="Heading1"/>
        <w:spacing w:after="120" w:before="300"/>
      </w:pPr>
      <w:r>
        <w:rPr>
          <w:color w:val="1F2A44"/>
        </w:rPr>
        <w:t xml:space="preserve">How to use this document</w:t>
      </w:r>
    </w:p>
    <w:p>
      <w:pPr>
        <w:spacing w:after="120"/>
      </w:pPr>
      <w:r>
        <w:rPr>
          <w:sz w:val="21"/>
          <w:szCs w:val="21"/>
        </w:rPr>
        <w:t xml:space="preserve">Each of the ten modules gets a section below. For every visual on the screen you get three lines: PURPOSE is the sentence to say out loud — why the visual exists and the business question it answers. LOGIC is how the number is actually computed, in plain language, so you can answer "where does that come from?" without hand-waving. DATA names the Databricks view feeding the visual and the underlying tables behind it.</w:t>
      </w:r>
    </w:p>
    <w:p>
      <w:pPr>
        <w:spacing w:after="120"/>
      </w:pPr>
      <w:r>
        <w:rPr>
          <w:sz w:val="21"/>
          <w:szCs w:val="21"/>
        </w:rPr>
        <w:t xml:space="preserve">Three facts that cover most audience questions:</w:t>
      </w:r>
    </w:p>
    <w:p>
      <w:pPr>
        <w:pStyle w:val="ListParagraph"/>
        <w:numPr>
          <w:ilvl w:val="0"/>
          <w:numId w:val="2"/>
        </w:numPr>
        <w:spacing w:after="60"/>
      </w:pPr>
      <w:r>
        <w:rPr>
          <w:sz w:val="20"/>
          <w:szCs w:val="20"/>
        </w:rPr>
        <w:t xml:space="preserve">Architecture in one sentence: the browser app only ever calls one read-only endpoint, which is restricted to 23 purpose-built views (plus 4 registry tables) in the sset1000.supplychain schema — the views ARE the API, so every number on screen is reproducible with a SQL query.</w:t>
      </w:r>
    </w:p>
    <w:p>
      <w:pPr>
        <w:pStyle w:val="ListParagraph"/>
        <w:numPr>
          <w:ilvl w:val="0"/>
          <w:numId w:val="2"/>
        </w:numPr>
        <w:spacing w:after="60"/>
      </w:pPr>
      <w:r>
        <w:rPr>
          <w:sz w:val="20"/>
          <w:szCs w:val="20"/>
        </w:rPr>
        <w:t xml:space="preserve">All data is generated demo data anchored to July 14, 2026 ("today" in the app). Patterns are realistic — 38 stores, ~80% replenishment / 20% seasonal, weather-driven workwear demand — but no real WorkWorld data is present.</w:t>
      </w:r>
    </w:p>
    <w:p>
      <w:pPr>
        <w:pStyle w:val="ListParagraph"/>
        <w:numPr>
          <w:ilvl w:val="0"/>
          <w:numId w:val="2"/>
        </w:numPr>
        <w:spacing w:after="60"/>
      </w:pPr>
      <w:r>
        <w:rPr>
          <w:sz w:val="20"/>
          <w:szCs w:val="20"/>
        </w:rPr>
        <w:t xml:space="preserve">The recurring theme across modules: quoted vendor lead times are systematically optimistic, so the engine plans at observed lead times (P50, with P90 safety). Several visuals exist to make that case.</w:t>
      </w:r>
    </w:p>
    <w:p>
      <w:r>
        <w:br w:type="page"/>
      </w:r>
    </w:p>
    <w:p>
      <w:pPr>
        <w:pStyle w:val="Heading1"/>
        <w:spacing w:after="120" w:before="300"/>
      </w:pPr>
      <w:r>
        <w:rPr>
          <w:color w:val="1F2A44"/>
        </w:rPr>
        <w:t xml:space="preserve">Module 1 — Command Center</w:t>
      </w:r>
    </w:p>
    <w:p>
      <w:pPr>
        <w:spacing w:after="160"/>
      </w:pPr>
      <w:r>
        <w:rPr>
          <w:i/>
          <w:iCs/>
          <w:color w:val="5A6880"/>
          <w:sz w:val="21"/>
          <w:szCs w:val="21"/>
        </w:rPr>
        <w:t xml:space="preserve">The landing page. One row of value-driver KPIs across the whole network, then the two curves every merchant conversation starts with: sales and margin. The message: this is a single pane over planning, buying, reconciliation, and store execution — not another report.</w:t>
      </w:r>
    </w:p>
    <w:p>
      <w:pPr>
        <w:pStyle w:val="Heading2"/>
        <w:spacing w:after="60" w:before="220"/>
      </w:pPr>
      <w:r>
        <w:rPr>
          <w:color w:val="2E5BFF"/>
        </w:rPr>
        <w:t xml:space="preserve">KPI strip (nine tiles)</w:t>
      </w:r>
    </w:p>
    <w:p>
      <w:pPr>
        <w:spacing w:after="80"/>
        <w:ind w:left="200"/>
      </w:pPr>
      <w:r>
        <w:rPr>
          <w:b/>
          <w:bCs/>
          <w:color w:val="1F2A44"/>
          <w:sz w:val="20"/>
          <w:szCs w:val="20"/>
        </w:rPr>
        <w:t xml:space="preserve">Purpose —  </w:t>
      </w:r>
      <w:r>
        <w:rPr>
          <w:sz w:val="20"/>
          <w:szCs w:val="20"/>
        </w:rPr>
        <w:t xml:space="preserve">Nine numbers a merchandising VP would ask for in the first five minutes, computed live at page load. Green/amber/red states draw the eye to what needs attention today.</w:t>
      </w:r>
    </w:p>
    <w:p>
      <w:pPr>
        <w:spacing w:after="80"/>
        <w:ind w:left="200"/>
      </w:pPr>
      <w:r>
        <w:rPr>
          <w:b/>
          <w:bCs/>
          <w:color w:val="1F2A44"/>
          <w:sz w:val="20"/>
          <w:szCs w:val="20"/>
        </w:rPr>
        <w:t xml:space="preserve">Logic —  </w:t>
      </w:r>
      <w:r>
        <w:rPr>
          <w:sz w:val="20"/>
          <w:szCs w:val="20"/>
        </w:rPr>
        <w:t xml:space="preserve">In-stock rate = stocked positions ÷ all store-SKU positions in yesterday's inventory snapshot. Meat-size breaks counts zero-on-hand positions in core ("meat") sizes only — a stockout in an M or L hurts far more than one in a 3XL. Inventory turns = trailing-12-month COGS ÷ current inventory at cost. Gross margin = trailing-12-month margin dollars ÷ net sales. Sales-30-days pairs with an estimate of sales lost to stockouts over the same window. 3-way auto-clear = share of invoice lines matched with no variance (no human touch). Replen queue, open deal savings, and store tasks count the items waiting in Modules 3, 5, and 9.</w:t>
      </w:r>
    </w:p>
    <w:p>
      <w:pPr>
        <w:spacing w:after="80"/>
        <w:ind w:left="200"/>
      </w:pPr>
      <w:r>
        <w:rPr>
          <w:b/>
          <w:bCs/>
          <w:color w:val="1F2A44"/>
          <w:sz w:val="20"/>
          <w:szCs w:val="20"/>
        </w:rPr>
        <w:t xml:space="preserve">Data —  </w:t>
      </w:r>
      <w:r>
        <w:rPr>
          <w:sz w:val="20"/>
          <w:szCs w:val="20"/>
        </w:rPr>
        <w:t xml:space="preserve">kpi_summary_v — one row assembled from fact_inventory_daily (snapshot 2026-07-13), fact_sales_daily, stockout_events, threeway_match, replen_suggestions, vendor_promo_opportunities, store_tasks, with size_curves flagging meat sizes.</w:t>
      </w:r>
    </w:p>
    <w:p>
      <w:pPr>
        <w:pStyle w:val="Heading2"/>
        <w:spacing w:after="60" w:before="220"/>
      </w:pPr>
      <w:r>
        <w:rPr>
          <w:color w:val="2E5BFF"/>
        </w:rPr>
        <w:t xml:space="preserve">Weekly sales &amp; rain-day contribution (line chart)</w:t>
      </w:r>
    </w:p>
    <w:p>
      <w:pPr>
        <w:spacing w:after="80"/>
        <w:ind w:left="200"/>
      </w:pPr>
      <w:r>
        <w:rPr>
          <w:b/>
          <w:bCs/>
          <w:color w:val="1F2A44"/>
          <w:sz w:val="20"/>
          <w:szCs w:val="20"/>
        </w:rPr>
        <w:t xml:space="preserve">Purpose —  </w:t>
      </w:r>
      <w:r>
        <w:rPr>
          <w:sz w:val="20"/>
          <w:szCs w:val="20"/>
        </w:rPr>
        <w:t xml:space="preserve">Twelve months of weekly net sales with the rain-day share split out. For workwear, weather is a demand signal, not trivia — this chart shows how much of the business arrives on rain days, which sets up the weather-adjusted forecasting story in Module 2.</w:t>
      </w:r>
    </w:p>
    <w:p>
      <w:pPr>
        <w:spacing w:after="80"/>
        <w:ind w:left="200"/>
      </w:pPr>
      <w:r>
        <w:rPr>
          <w:b/>
          <w:bCs/>
          <w:color w:val="1F2A44"/>
          <w:sz w:val="20"/>
          <w:szCs w:val="20"/>
        </w:rPr>
        <w:t xml:space="preserve">Logic —  </w:t>
      </w:r>
      <w:r>
        <w:rPr>
          <w:sz w:val="20"/>
          <w:szCs w:val="20"/>
        </w:rPr>
        <w:t xml:space="preserve">Daily POS sales rolled up to weeks. The teal band is the same sales restricted to days flagged as rain events at that store's location.</w:t>
      </w:r>
    </w:p>
    <w:p>
      <w:pPr>
        <w:spacing w:after="80"/>
        <w:ind w:left="200"/>
      </w:pPr>
      <w:r>
        <w:rPr>
          <w:b/>
          <w:bCs/>
          <w:color w:val="1F2A44"/>
          <w:sz w:val="20"/>
          <w:szCs w:val="20"/>
        </w:rPr>
        <w:t xml:space="preserve">Data —  </w:t>
      </w:r>
      <w:r>
        <w:rPr>
          <w:sz w:val="20"/>
          <w:szCs w:val="20"/>
        </w:rPr>
        <w:t xml:space="preserve">sales_trend_v — fact_sales_daily grouped by week; rain_day_sales sums sales where the day's weather_rain_flag is true.</w:t>
      </w:r>
    </w:p>
    <w:p>
      <w:pPr>
        <w:pStyle w:val="Heading2"/>
        <w:spacing w:after="60" w:before="220"/>
      </w:pPr>
      <w:r>
        <w:rPr>
          <w:color w:val="2E5BFF"/>
        </w:rPr>
        <w:t xml:space="preserve">Weekly margin dollars (bar chart)</w:t>
      </w:r>
    </w:p>
    <w:p>
      <w:pPr>
        <w:spacing w:after="80"/>
        <w:ind w:left="200"/>
      </w:pPr>
      <w:r>
        <w:rPr>
          <w:b/>
          <w:bCs/>
          <w:color w:val="1F2A44"/>
          <w:sz w:val="20"/>
          <w:szCs w:val="20"/>
        </w:rPr>
        <w:t xml:space="preserve">Purpose —  </w:t>
      </w:r>
      <w:r>
        <w:rPr>
          <w:sz w:val="20"/>
          <w:szCs w:val="20"/>
        </w:rPr>
        <w:t xml:space="preserve">The margin twin of the sales chart, with promo-driven sales overlaid — a health check that growth isn't being bought with discounting.</w:t>
      </w:r>
    </w:p>
    <w:p>
      <w:pPr>
        <w:spacing w:after="80"/>
        <w:ind w:left="200"/>
      </w:pPr>
      <w:r>
        <w:rPr>
          <w:b/>
          <w:bCs/>
          <w:color w:val="1F2A44"/>
          <w:sz w:val="20"/>
          <w:szCs w:val="20"/>
        </w:rPr>
        <w:t xml:space="preserve">Logic —  </w:t>
      </w:r>
      <w:r>
        <w:rPr>
          <w:sz w:val="20"/>
          <w:szCs w:val="20"/>
        </w:rPr>
        <w:t xml:space="preserve">Weekly sum of margin dollars (navy bars) and of sales rung on promo (orange bars) from the same daily fact.</w:t>
      </w:r>
    </w:p>
    <w:p>
      <w:pPr>
        <w:spacing w:after="80"/>
        <w:ind w:left="200"/>
      </w:pPr>
      <w:r>
        <w:rPr>
          <w:b/>
          <w:bCs/>
          <w:color w:val="1F2A44"/>
          <w:sz w:val="20"/>
          <w:szCs w:val="20"/>
        </w:rPr>
        <w:t xml:space="preserve">Data —  </w:t>
      </w:r>
      <w:r>
        <w:rPr>
          <w:sz w:val="20"/>
          <w:szCs w:val="20"/>
        </w:rPr>
        <w:t xml:space="preserve">sales_trend_v — same weekly rollup of fact_sales_daily; promo_sales sums sales where promo_flag is true.</w:t>
      </w:r>
    </w:p>
    <w:p>
      <w:r>
        <w:br w:type="page"/>
      </w:r>
    </w:p>
    <w:p>
      <w:pPr>
        <w:pStyle w:val="Heading1"/>
        <w:spacing w:after="120" w:before="300"/>
      </w:pPr>
      <w:r>
        <w:rPr>
          <w:color w:val="1F2A44"/>
        </w:rPr>
        <w:t xml:space="preserve">Module 2 — Demand Planning</w:t>
      </w:r>
    </w:p>
    <w:p>
      <w:pPr>
        <w:spacing w:after="160"/>
      </w:pPr>
      <w:r>
        <w:rPr>
          <w:i/>
          <w:iCs/>
          <w:color w:val="5A6880"/>
          <w:sz w:val="21"/>
          <w:szCs w:val="21"/>
        </w:rPr>
        <w:t xml:space="preserve">The forecast is only useful when it becomes purchase timing. This module slices forecasted demand any way the buyer thinks (category, brand, vendor, store, region), shifts it back by vendor lead times to show when orders must be placed, and ends by generating an actual PO proposal.</w:t>
      </w:r>
    </w:p>
    <w:p>
      <w:pPr>
        <w:pStyle w:val="Heading2"/>
        <w:spacing w:after="60" w:before="220"/>
      </w:pPr>
      <w:r>
        <w:rPr>
          <w:color w:val="2E5BFF"/>
        </w:rPr>
        <w:t xml:space="preserve">Demand &amp; purchase timeline (stacked bar with controls)</w:t>
      </w:r>
    </w:p>
    <w:p>
      <w:pPr>
        <w:spacing w:after="80"/>
        <w:ind w:left="200"/>
      </w:pPr>
      <w:r>
        <w:rPr>
          <w:b/>
          <w:bCs/>
          <w:color w:val="1F2A44"/>
          <w:sz w:val="20"/>
          <w:szCs w:val="20"/>
        </w:rPr>
        <w:t xml:space="preserve">Purpose —  </w:t>
      </w:r>
      <w:r>
        <w:rPr>
          <w:sz w:val="20"/>
          <w:szCs w:val="20"/>
        </w:rPr>
        <w:t xml:space="preserve">The centerpiece. Stacked weekly forecast, then flip the X axis from "demand week" to "order-by week" and the same demand re-stacks onto the dates orders must be PLACED. Bars that land in the past are labeled MISSED — demand we can no longer buy for. Then layer the weather signal: green = weather-driven demand we can still react to; red = the order window already closed.</w:t>
      </w:r>
    </w:p>
    <w:p>
      <w:pPr>
        <w:spacing w:after="80"/>
        <w:ind w:left="200"/>
      </w:pPr>
      <w:r>
        <w:rPr>
          <w:b/>
          <w:bCs/>
          <w:color w:val="1F2A44"/>
          <w:sz w:val="20"/>
          <w:szCs w:val="20"/>
        </w:rPr>
        <w:t xml:space="preserve">Logic —  </w:t>
      </w:r>
      <w:r>
        <w:rPr>
          <w:sz w:val="20"/>
          <w:szCs w:val="20"/>
        </w:rPr>
        <w:t xml:space="preserve">Each forecast row carries the vendor's observed median (P50) lead time; order-by week = forecast week minus that lead time. "Reactable" means the computed order-by date is today or later. The chart shows the top 6 groups plus Other, in units or dollars at cost/retail.</w:t>
      </w:r>
    </w:p>
    <w:p>
      <w:pPr>
        <w:spacing w:after="80"/>
        <w:ind w:left="200"/>
      </w:pPr>
      <w:r>
        <w:rPr>
          <w:b/>
          <w:bCs/>
          <w:color w:val="1F2A44"/>
          <w:sz w:val="20"/>
          <w:szCs w:val="20"/>
        </w:rPr>
        <w:t xml:space="preserve">Data —  </w:t>
      </w:r>
      <w:r>
        <w:rPr>
          <w:sz w:val="20"/>
          <w:szCs w:val="20"/>
        </w:rPr>
        <w:t xml:space="preserve">demand_timeline_v — demand_forecast joined to the demand_base item/store universe, dim_store (climate zone), dim_vendor, and vendor_lead_times (observed P50; 21-day default when a vendor has no history).</w:t>
      </w:r>
    </w:p>
    <w:p>
      <w:pPr>
        <w:pStyle w:val="Heading2"/>
        <w:spacing w:after="60" w:before="220"/>
      </w:pPr>
      <w:r>
        <w:rPr>
          <w:color w:val="2E5BFF"/>
        </w:rPr>
        <w:t xml:space="preserve">Weekly demand matrix (heat table)</w:t>
      </w:r>
    </w:p>
    <w:p>
      <w:pPr>
        <w:spacing w:after="80"/>
        <w:ind w:left="200"/>
      </w:pPr>
      <w:r>
        <w:rPr>
          <w:b/>
          <w:bCs/>
          <w:color w:val="1F2A44"/>
          <w:sz w:val="20"/>
          <w:szCs w:val="20"/>
        </w:rPr>
        <w:t xml:space="preserve">Purpose —  </w:t>
      </w:r>
      <w:r>
        <w:rPr>
          <w:sz w:val="20"/>
          <w:szCs w:val="20"/>
        </w:rPr>
        <w:t xml:space="preserve">The same forecast as a planner's spreadsheet: weeks down, categories across, shading scaled within each column so hot weeks stand out per category. This is the view buyers trust because it looks like what they already use — except it's live.</w:t>
      </w:r>
    </w:p>
    <w:p>
      <w:pPr>
        <w:spacing w:after="80"/>
        <w:ind w:left="200"/>
      </w:pPr>
      <w:r>
        <w:rPr>
          <w:b/>
          <w:bCs/>
          <w:color w:val="1F2A44"/>
          <w:sz w:val="20"/>
          <w:szCs w:val="20"/>
        </w:rPr>
        <w:t xml:space="preserve">Logic —  </w:t>
      </w:r>
      <w:r>
        <w:rPr>
          <w:sz w:val="20"/>
          <w:szCs w:val="20"/>
        </w:rPr>
        <w:t xml:space="preserve">Total forecast (base + weather adjustment) summed per week × category, filterable by region or store; units or dollars.</w:t>
      </w:r>
    </w:p>
    <w:p>
      <w:pPr>
        <w:spacing w:after="80"/>
        <w:ind w:left="200"/>
      </w:pPr>
      <w:r>
        <w:rPr>
          <w:b/>
          <w:bCs/>
          <w:color w:val="1F2A44"/>
          <w:sz w:val="20"/>
          <w:szCs w:val="20"/>
        </w:rPr>
        <w:t xml:space="preserve">Data —  </w:t>
      </w:r>
      <w:r>
        <w:rPr>
          <w:sz w:val="20"/>
          <w:szCs w:val="20"/>
        </w:rPr>
        <w:t xml:space="preserve">demand_timeline_v again — the matrix is a client-side pivot of the same rows, so it always agrees with the chart above it.</w:t>
      </w:r>
    </w:p>
    <w:p>
      <w:pPr>
        <w:pStyle w:val="Heading2"/>
        <w:spacing w:after="60" w:before="220"/>
      </w:pPr>
      <w:r>
        <w:rPr>
          <w:color w:val="2E5BFF"/>
        </w:rPr>
        <w:t xml:space="preserve">Proposed PO generator</w:t>
      </w:r>
    </w:p>
    <w:p>
      <w:pPr>
        <w:spacing w:after="80"/>
        <w:ind w:left="200"/>
      </w:pPr>
      <w:r>
        <w:rPr>
          <w:b/>
          <w:bCs/>
          <w:color w:val="1F2A44"/>
          <w:sz w:val="20"/>
          <w:szCs w:val="20"/>
        </w:rPr>
        <w:t xml:space="preserve">Purpose —  </w:t>
      </w:r>
      <w:r>
        <w:rPr>
          <w:sz w:val="20"/>
          <w:szCs w:val="20"/>
        </w:rPr>
        <w:t xml:space="preserve">Where the module pays rent: pick a horizon (2–8 weeks), include or exclude weather demand, click Generate, and get one proposed master PO per vendor with an MOQ check, expected receipt dates, and a CSV export ready for review or EDI staging. The point to land: this math is currently done by hand in spreadsheets, store by store.</w:t>
      </w:r>
    </w:p>
    <w:p>
      <w:pPr>
        <w:spacing w:after="80"/>
        <w:ind w:left="200"/>
      </w:pPr>
      <w:r>
        <w:rPr>
          <w:b/>
          <w:bCs/>
          <w:color w:val="1F2A44"/>
          <w:sz w:val="20"/>
          <w:szCs w:val="20"/>
        </w:rPr>
        <w:t xml:space="preserve">Logic —  </w:t>
      </w:r>
      <w:r>
        <w:rPr>
          <w:sz w:val="20"/>
          <w:szCs w:val="20"/>
        </w:rPr>
        <w:t xml:space="preserve">Order quantity per store × SKU = forecast over the horizon (+ weather layer if included) + safety stock − current position, where position = on hand + on order + in transit. Only positive needs become lines; lines roll up to one master PO per vendor; the vendor's MOQ flags under-minimum orders; expected receipt = today + observed P50 lead time. Tier-break notes surface consolidation opportunities from Module 5.</w:t>
      </w:r>
    </w:p>
    <w:p>
      <w:pPr>
        <w:spacing w:after="80"/>
        <w:ind w:left="200"/>
      </w:pPr>
      <w:r>
        <w:rPr>
          <w:b/>
          <w:bCs/>
          <w:color w:val="1F2A44"/>
          <w:sz w:val="20"/>
          <w:szCs w:val="20"/>
        </w:rPr>
        <w:t xml:space="preserve">Data —  </w:t>
      </w:r>
      <w:r>
        <w:rPr>
          <w:sz w:val="20"/>
          <w:szCs w:val="20"/>
        </w:rPr>
        <w:t xml:space="preserve">proposed_po_v — replenishable items in demand_base, positions from fact_inventory_daily (snapshot 2026-07-13), safety stock from store_sku_params, horizon buckets from demand_forecast, lead time/MOQ from vendor_lead_times.</w:t>
      </w:r>
    </w:p>
    <w:p>
      <w:pPr>
        <w:pStyle w:val="Heading2"/>
        <w:spacing w:after="60" w:before="220"/>
      </w:pPr>
      <w:r>
        <w:rPr>
          <w:color w:val="2E5BFF"/>
        </w:rPr>
        <w:t xml:space="preserve">Sales by size vs forecast by size (bar + curve overlay)</w:t>
      </w:r>
    </w:p>
    <w:p>
      <w:pPr>
        <w:spacing w:after="80"/>
        <w:ind w:left="200"/>
      </w:pPr>
      <w:r>
        <w:rPr>
          <w:b/>
          <w:bCs/>
          <w:color w:val="1F2A44"/>
          <w:sz w:val="20"/>
          <w:szCs w:val="20"/>
        </w:rPr>
        <w:t xml:space="preserve">Purpose —  </w:t>
      </w:r>
      <w:r>
        <w:rPr>
          <w:sz w:val="20"/>
          <w:szCs w:val="20"/>
        </w:rPr>
        <w:t xml:space="preserve">The size-run conversation: are we selling the sizes the curve says we should? Red size labels are meat sizes. The callout line under the chart names sizes selling meaningfully over or under forecast — over-forecast selling in a meat size is tomorrow's broken run.</w:t>
      </w:r>
    </w:p>
    <w:p>
      <w:pPr>
        <w:spacing w:after="80"/>
        <w:ind w:left="200"/>
      </w:pPr>
      <w:r>
        <w:rPr>
          <w:b/>
          <w:bCs/>
          <w:color w:val="1F2A44"/>
          <w:sz w:val="20"/>
          <w:szCs w:val="20"/>
        </w:rPr>
        <w:t xml:space="preserve">Logic —  </w:t>
      </w:r>
      <w:r>
        <w:rPr>
          <w:sz w:val="20"/>
          <w:szCs w:val="20"/>
        </w:rPr>
        <w:t xml:space="preserve">Average weekly actual units (last 8 weeks) vs the model's weekly forecast per size, with the size-curve's expected share scaled to the actual total and drawn as the orange line. Sizes &gt;125% of forecast are flagged over; &lt;75% under.</w:t>
      </w:r>
    </w:p>
    <w:p>
      <w:pPr>
        <w:spacing w:after="80"/>
        <w:ind w:left="200"/>
      </w:pPr>
      <w:r>
        <w:rPr>
          <w:b/>
          <w:bCs/>
          <w:color w:val="1F2A44"/>
          <w:sz w:val="20"/>
          <w:szCs w:val="20"/>
        </w:rPr>
        <w:t xml:space="preserve">Data —  </w:t>
      </w:r>
      <w:r>
        <w:rPr>
          <w:sz w:val="20"/>
          <w:szCs w:val="20"/>
        </w:rPr>
        <w:t xml:space="preserve">size_demand_v — fact_sales_daily (8 weeks) and demand_forecast aggregated by store/category/brand/size, joined to size_curves for expected share and meat-size flags.</w:t>
      </w:r>
    </w:p>
    <w:p>
      <w:r>
        <w:br w:type="page"/>
      </w:r>
    </w:p>
    <w:p>
      <w:pPr>
        <w:pStyle w:val="Heading1"/>
        <w:spacing w:after="120" w:before="300"/>
      </w:pPr>
      <w:r>
        <w:rPr>
          <w:color w:val="1F2A44"/>
        </w:rPr>
        <w:t xml:space="preserve">Module 3 — Purchase Planning &amp; Replenishment</w:t>
      </w:r>
    </w:p>
    <w:p>
      <w:pPr>
        <w:spacing w:after="160"/>
      </w:pPr>
      <w:r>
        <w:rPr>
          <w:i/>
          <w:iCs/>
          <w:color w:val="5A6880"/>
          <w:sz w:val="21"/>
          <w:szCs w:val="21"/>
        </w:rPr>
        <w:t xml:space="preserve">Continuous replenishment review: what the engine wants to do (the queue), where the network is off plan (the map), and the evidence that lead times — not demand — are the root cause of most stockouts.</w:t>
      </w:r>
    </w:p>
    <w:p>
      <w:pPr>
        <w:pStyle w:val="Heading2"/>
        <w:spacing w:after="60" w:before="220"/>
      </w:pPr>
      <w:r>
        <w:rPr>
          <w:color w:val="2E5BFF"/>
        </w:rPr>
        <w:t xml:space="preserve">Queue KPIs (by action)</w:t>
      </w:r>
    </w:p>
    <w:p>
      <w:pPr>
        <w:spacing w:after="80"/>
        <w:ind w:left="200"/>
      </w:pPr>
      <w:r>
        <w:rPr>
          <w:b/>
          <w:bCs/>
          <w:color w:val="1F2A44"/>
          <w:sz w:val="20"/>
          <w:szCs w:val="20"/>
        </w:rPr>
        <w:t xml:space="preserve">Purpose —  </w:t>
      </w:r>
      <w:r>
        <w:rPr>
          <w:sz w:val="20"/>
          <w:szCs w:val="20"/>
        </w:rPr>
        <w:t xml:space="preserve">How many suggestions the engine is holding right now, split by what it wants to do: Order, TransferFirst (move stock from a sister store before buying), ExpediteCheck, Hold. Transfer-first is the money line — it avoids buying inventory the network already owns.</w:t>
      </w:r>
    </w:p>
    <w:p>
      <w:pPr>
        <w:spacing w:after="80"/>
        <w:ind w:left="200"/>
      </w:pPr>
      <w:r>
        <w:rPr>
          <w:b/>
          <w:bCs/>
          <w:color w:val="1F2A44"/>
          <w:sz w:val="20"/>
          <w:szCs w:val="20"/>
        </w:rPr>
        <w:t xml:space="preserve">Logic —  </w:t>
      </w:r>
      <w:r>
        <w:rPr>
          <w:sz w:val="20"/>
          <w:szCs w:val="20"/>
        </w:rPr>
        <w:t xml:space="preserve">A count of open engine suggestions grouped by action type.</w:t>
      </w:r>
    </w:p>
    <w:p>
      <w:pPr>
        <w:spacing w:after="80"/>
        <w:ind w:left="200"/>
      </w:pPr>
      <w:r>
        <w:rPr>
          <w:b/>
          <w:bCs/>
          <w:color w:val="1F2A44"/>
          <w:sz w:val="20"/>
          <w:szCs w:val="20"/>
        </w:rPr>
        <w:t xml:space="preserve">Data —  </w:t>
      </w:r>
      <w:r>
        <w:rPr>
          <w:sz w:val="20"/>
          <w:szCs w:val="20"/>
        </w:rPr>
        <w:t xml:space="preserve">replen_queue_v — replen_suggestions joined to dim_store, item attributes from demand_base, vendor from dim_vendor.</w:t>
      </w:r>
    </w:p>
    <w:p>
      <w:pPr>
        <w:pStyle w:val="Heading2"/>
        <w:spacing w:after="60" w:before="220"/>
      </w:pPr>
      <w:r>
        <w:rPr>
          <w:color w:val="2E5BFF"/>
        </w:rPr>
        <w:t xml:space="preserve">Network variance map (interactive bubble map)</w:t>
      </w:r>
    </w:p>
    <w:p>
      <w:pPr>
        <w:spacing w:after="80"/>
        <w:ind w:left="200"/>
      </w:pPr>
      <w:r>
        <w:rPr>
          <w:b/>
          <w:bCs/>
          <w:color w:val="1F2A44"/>
          <w:sz w:val="20"/>
          <w:szCs w:val="20"/>
        </w:rPr>
        <w:t xml:space="preserve">Purpose —  </w:t>
      </w:r>
      <w:r>
        <w:rPr>
          <w:sz w:val="20"/>
          <w:szCs w:val="20"/>
        </w:rPr>
        <w:t xml:space="preserve">All 38 stores on a west-coast map. Pick a metric — sales vs plan variance, stockout positions, meat-size breaks, or lost sales dollars — and slice by category/brand/size. Bubble size = magnitude; green is over plan, red under. Click any store and the right panel breaks its variance down. This is the DM's Monday-morning view.</w:t>
      </w:r>
    </w:p>
    <w:p>
      <w:pPr>
        <w:spacing w:after="80"/>
        <w:ind w:left="200"/>
      </w:pPr>
      <w:r>
        <w:rPr>
          <w:b/>
          <w:bCs/>
          <w:color w:val="1F2A44"/>
          <w:sz w:val="20"/>
          <w:szCs w:val="20"/>
        </w:rPr>
        <w:t xml:space="preserve">Logic —  </w:t>
      </w:r>
      <w:r>
        <w:rPr>
          <w:sz w:val="20"/>
          <w:szCs w:val="20"/>
        </w:rPr>
        <w:t xml:space="preserve">Actual units are the last 8 weeks of POS. Expected units = each item's baseline daily rate × 56 days × the seasonality index for May–July. Variance % compares the two. Stockouts and meat breaks come from the current inventory snapshot; lost sales dollars from modeled stockout events.</w:t>
      </w:r>
    </w:p>
    <w:p>
      <w:pPr>
        <w:spacing w:after="80"/>
        <w:ind w:left="200"/>
      </w:pPr>
      <w:r>
        <w:rPr>
          <w:b/>
          <w:bCs/>
          <w:color w:val="1F2A44"/>
          <w:sz w:val="20"/>
          <w:szCs w:val="20"/>
        </w:rPr>
        <w:t xml:space="preserve">Data —  </w:t>
      </w:r>
      <w:r>
        <w:rPr>
          <w:sz w:val="20"/>
          <w:szCs w:val="20"/>
        </w:rPr>
        <w:t xml:space="preserve">store_variance_v — fact_sales_daily vs demand_base × seasonality_curves for the plan, fact_inventory_daily for outs, stockout_events for lost dollars, dim_store for names and coordinates. The map itself is drawn in-app (SVG) from store latitude/longitude.</w:t>
      </w:r>
    </w:p>
    <w:p>
      <w:pPr>
        <w:pStyle w:val="Heading2"/>
        <w:spacing w:after="60" w:before="220"/>
      </w:pPr>
      <w:r>
        <w:rPr>
          <w:color w:val="2E5BFF"/>
        </w:rPr>
        <w:t xml:space="preserve">Receipt date variance — every PO receipt, 12 months (scatter)</w:t>
      </w:r>
    </w:p>
    <w:p>
      <w:pPr>
        <w:spacing w:after="80"/>
        <w:ind w:left="200"/>
      </w:pPr>
      <w:r>
        <w:rPr>
          <w:b/>
          <w:bCs/>
          <w:color w:val="1F2A44"/>
          <w:sz w:val="20"/>
          <w:szCs w:val="20"/>
        </w:rPr>
        <w:t xml:space="preserve">Purpose —  </w:t>
      </w:r>
      <w:r>
        <w:rPr>
          <w:sz w:val="20"/>
          <w:szCs w:val="20"/>
        </w:rPr>
        <w:t xml:space="preserve">Every dot is a real receipt plotted as days late (above the line) or early (below) versus the vendor's quoted lead time, colored by vendor. The visual argument: the cloud sits above the line — quoted lead times are systematically optimistic, and that drift is the lead-time forecasting problem.</w:t>
      </w:r>
    </w:p>
    <w:p>
      <w:pPr>
        <w:spacing w:after="80"/>
        <w:ind w:left="200"/>
      </w:pPr>
      <w:r>
        <w:rPr>
          <w:b/>
          <w:bCs/>
          <w:color w:val="1F2A44"/>
          <w:sz w:val="20"/>
          <w:szCs w:val="20"/>
        </w:rPr>
        <w:t xml:space="preserve">Logic —  </w:t>
      </w:r>
      <w:r>
        <w:rPr>
          <w:sz w:val="20"/>
          <w:szCs w:val="20"/>
        </w:rPr>
        <w:t xml:space="preserve">Days late = (received date − order date) − quoted lead days, per receipt.</w:t>
      </w:r>
    </w:p>
    <w:p>
      <w:pPr>
        <w:spacing w:after="80"/>
        <w:ind w:left="200"/>
      </w:pPr>
      <w:r>
        <w:rPr>
          <w:b/>
          <w:bCs/>
          <w:color w:val="1F2A44"/>
          <w:sz w:val="20"/>
          <w:szCs w:val="20"/>
        </w:rPr>
        <w:t xml:space="preserve">Data —  </w:t>
      </w:r>
      <w:r>
        <w:rPr>
          <w:sz w:val="20"/>
          <w:szCs w:val="20"/>
        </w:rPr>
        <w:t xml:space="preserve">lead_time_variance_v — receiver_header joined to po_header and vendor_lead_times (quoted; 21-day default).</w:t>
      </w:r>
    </w:p>
    <w:p>
      <w:pPr>
        <w:pStyle w:val="Heading2"/>
        <w:spacing w:after="60" w:before="220"/>
      </w:pPr>
      <w:r>
        <w:rPr>
          <w:color w:val="2E5BFF"/>
        </w:rPr>
        <w:t xml:space="preserve">Quoted vs actual lead time by vendor (bar)</w:t>
      </w:r>
    </w:p>
    <w:p>
      <w:pPr>
        <w:spacing w:after="80"/>
        <w:ind w:left="200"/>
      </w:pPr>
      <w:r>
        <w:rPr>
          <w:b/>
          <w:bCs/>
          <w:color w:val="1F2A44"/>
          <w:sz w:val="20"/>
          <w:szCs w:val="20"/>
        </w:rPr>
        <w:t xml:space="preserve">Purpose —  </w:t>
      </w:r>
      <w:r>
        <w:rPr>
          <w:sz w:val="20"/>
          <w:szCs w:val="20"/>
        </w:rPr>
        <w:t xml:space="preserve">The same evidence summarized for decision-making: for each vendor, the lead time we plan with today vs what actually happens at the median (P50) and the bad-day case (P90). Punchline: planning at quoted lead time is planning to stock out; the engine plans at P50 and carries P90 as safety.</w:t>
      </w:r>
    </w:p>
    <w:p>
      <w:pPr>
        <w:spacing w:after="80"/>
        <w:ind w:left="200"/>
      </w:pPr>
      <w:r>
        <w:rPr>
          <w:b/>
          <w:bCs/>
          <w:color w:val="1F2A44"/>
          <w:sz w:val="20"/>
          <w:szCs w:val="20"/>
        </w:rPr>
        <w:t xml:space="preserve">Logic —  </w:t>
      </w:r>
      <w:r>
        <w:rPr>
          <w:sz w:val="20"/>
          <w:szCs w:val="20"/>
        </w:rPr>
        <w:t xml:space="preserve">P50/P90 computed from each vendor's actual receipt history in the view; quoted comes from the vendor master.</w:t>
      </w:r>
    </w:p>
    <w:p>
      <w:pPr>
        <w:spacing w:after="80"/>
        <w:ind w:left="200"/>
      </w:pPr>
      <w:r>
        <w:rPr>
          <w:b/>
          <w:bCs/>
          <w:color w:val="1F2A44"/>
          <w:sz w:val="20"/>
          <w:szCs w:val="20"/>
        </w:rPr>
        <w:t xml:space="preserve">Data —  </w:t>
      </w:r>
      <w:r>
        <w:rPr>
          <w:sz w:val="20"/>
          <w:szCs w:val="20"/>
        </w:rPr>
        <w:t xml:space="preserve">lead_time_variance_v — percentiles computed in the app from the per-receipt rows.</w:t>
      </w:r>
    </w:p>
    <w:p>
      <w:pPr>
        <w:pStyle w:val="Heading2"/>
        <w:spacing w:after="60" w:before="220"/>
      </w:pPr>
      <w:r>
        <w:rPr>
          <w:color w:val="2E5BFF"/>
        </w:rPr>
        <w:t xml:space="preserve">Size-run health by store (stacked bar)</w:t>
      </w:r>
    </w:p>
    <w:p>
      <w:pPr>
        <w:spacing w:after="80"/>
        <w:ind w:left="200"/>
      </w:pPr>
      <w:r>
        <w:rPr>
          <w:b/>
          <w:bCs/>
          <w:color w:val="1F2A44"/>
          <w:sz w:val="20"/>
          <w:szCs w:val="20"/>
        </w:rPr>
        <w:t xml:space="preserve">Purpose —  </w:t>
      </w:r>
      <w:r>
        <w:rPr>
          <w:sz w:val="20"/>
          <w:szCs w:val="20"/>
        </w:rPr>
        <w:t xml:space="preserve">Style/color size runs per store classified Intact (green), FringeBreak (orange — an edge size is out), or MeatBreak (red — a core size is out). Ties the size-curve story to a store-level action list.</w:t>
      </w:r>
    </w:p>
    <w:p>
      <w:pPr>
        <w:spacing w:after="80"/>
        <w:ind w:left="200"/>
      </w:pPr>
      <w:r>
        <w:rPr>
          <w:b/>
          <w:bCs/>
          <w:color w:val="1F2A44"/>
          <w:sz w:val="20"/>
          <w:szCs w:val="20"/>
        </w:rPr>
        <w:t xml:space="preserve">Logic —  </w:t>
      </w:r>
      <w:r>
        <w:rPr>
          <w:sz w:val="20"/>
          <w:szCs w:val="20"/>
        </w:rPr>
        <w:t xml:space="preserve">For each store × style/color: count sizes carried, sizes at zero on-hand, and whether any zero is a meat size; classify accordingly.</w:t>
      </w:r>
    </w:p>
    <w:p>
      <w:pPr>
        <w:spacing w:after="80"/>
        <w:ind w:left="200"/>
      </w:pPr>
      <w:r>
        <w:rPr>
          <w:b/>
          <w:bCs/>
          <w:color w:val="1F2A44"/>
          <w:sz w:val="20"/>
          <w:szCs w:val="20"/>
        </w:rPr>
        <w:t xml:space="preserve">Data —  </w:t>
      </w:r>
      <w:r>
        <w:rPr>
          <w:sz w:val="20"/>
          <w:szCs w:val="20"/>
        </w:rPr>
        <w:t xml:space="preserve">size_run_health_v — fact_inventory_daily (snapshot 2026-07-13) × demand_base × size_curves.</w:t>
      </w:r>
    </w:p>
    <w:p>
      <w:pPr>
        <w:pStyle w:val="Heading2"/>
        <w:spacing w:after="60" w:before="220"/>
      </w:pPr>
      <w:r>
        <w:rPr>
          <w:color w:val="2E5BFF"/>
        </w:rPr>
        <w:t xml:space="preserve">Suggestion queue — most urgent (table)</w:t>
      </w:r>
    </w:p>
    <w:p>
      <w:pPr>
        <w:spacing w:after="80"/>
        <w:ind w:left="200"/>
      </w:pPr>
      <w:r>
        <w:rPr>
          <w:b/>
          <w:bCs/>
          <w:color w:val="1F2A44"/>
          <w:sz w:val="20"/>
          <w:szCs w:val="20"/>
        </w:rPr>
        <w:t xml:space="preserve">Purpose —  </w:t>
      </w:r>
      <w:r>
        <w:rPr>
          <w:sz w:val="20"/>
          <w:szCs w:val="20"/>
        </w:rPr>
        <w:t xml:space="preserve">The engine's to-do list ordered by projected stockout date, with the suggested action, quantity, and reason — including tier-break notes when consolidating an order would hit a better price bracket.</w:t>
      </w:r>
    </w:p>
    <w:p>
      <w:pPr>
        <w:spacing w:after="80"/>
        <w:ind w:left="200"/>
      </w:pPr>
      <w:r>
        <w:rPr>
          <w:b/>
          <w:bCs/>
          <w:color w:val="1F2A44"/>
          <w:sz w:val="20"/>
          <w:szCs w:val="20"/>
        </w:rPr>
        <w:t xml:space="preserve">Logic —  </w:t>
      </w:r>
      <w:r>
        <w:rPr>
          <w:sz w:val="20"/>
          <w:szCs w:val="20"/>
        </w:rPr>
        <w:t xml:space="preserve">Open suggestions sorted by days-to-stockout (projected stockout date minus today).</w:t>
      </w:r>
    </w:p>
    <w:p>
      <w:pPr>
        <w:spacing w:after="80"/>
        <w:ind w:left="200"/>
      </w:pPr>
      <w:r>
        <w:rPr>
          <w:b/>
          <w:bCs/>
          <w:color w:val="1F2A44"/>
          <w:sz w:val="20"/>
          <w:szCs w:val="20"/>
        </w:rPr>
        <w:t xml:space="preserve">Data —  </w:t>
      </w:r>
      <w:r>
        <w:rPr>
          <w:sz w:val="20"/>
          <w:szCs w:val="20"/>
        </w:rPr>
        <w:t xml:space="preserve">replen_queue_v — replen_suggestions enriched with item, store, and vendor attributes.</w:t>
      </w:r>
    </w:p>
    <w:p>
      <w:r>
        <w:br w:type="page"/>
      </w:r>
    </w:p>
    <w:p>
      <w:pPr>
        <w:pStyle w:val="Heading1"/>
        <w:spacing w:after="120" w:before="300"/>
      </w:pPr>
      <w:r>
        <w:rPr>
          <w:color w:val="1F2A44"/>
        </w:rPr>
        <w:t xml:space="preserve">Module 4 — Vendor Availability (ATS)</w:t>
      </w:r>
    </w:p>
    <w:p>
      <w:pPr>
        <w:spacing w:after="160"/>
      </w:pPr>
      <w:r>
        <w:rPr>
          <w:i/>
          <w:iCs/>
          <w:color w:val="5A6880"/>
          <w:sz w:val="21"/>
          <w:szCs w:val="21"/>
        </w:rPr>
        <w:t xml:space="preserve">You can't plan around what a vendor can't ship. This module tracks what each vendor reports as available-to-sell and — just as important — how much of it we can actually use, via the item cross-reference match rate.</w:t>
      </w:r>
    </w:p>
    <w:p>
      <w:pPr>
        <w:pStyle w:val="Heading2"/>
        <w:spacing w:after="60" w:before="220"/>
      </w:pPr>
      <w:r>
        <w:rPr>
          <w:color w:val="2E5BFF"/>
        </w:rPr>
        <w:t xml:space="preserve">Coverage by vendor — latest snapshot (table)</w:t>
      </w:r>
    </w:p>
    <w:p>
      <w:pPr>
        <w:spacing w:after="80"/>
        <w:ind w:left="200"/>
      </w:pPr>
      <w:r>
        <w:rPr>
          <w:b/>
          <w:bCs/>
          <w:color w:val="1F2A44"/>
          <w:sz w:val="20"/>
          <w:szCs w:val="20"/>
        </w:rPr>
        <w:t xml:space="preserve">Purpose —  </w:t>
      </w:r>
      <w:r>
        <w:rPr>
          <w:sz w:val="20"/>
          <w:szCs w:val="20"/>
        </w:rPr>
        <w:t xml:space="preserve">Per vendor: how they report availability (EDI 846 for Tier A, portal pulls for Tier B, parsed email for Tier C), how many items they reported, and the crossref match rate — the health metric, because an unmatched vendor SKU can't inform ordering. Zero-ATS counts warn of items we may be counting on that the vendor can't ship.</w:t>
      </w:r>
    </w:p>
    <w:p>
      <w:pPr>
        <w:spacing w:after="80"/>
        <w:ind w:left="200"/>
      </w:pPr>
      <w:r>
        <w:rPr>
          <w:b/>
          <w:bCs/>
          <w:color w:val="1F2A44"/>
          <w:sz w:val="20"/>
          <w:szCs w:val="20"/>
        </w:rPr>
        <w:t xml:space="preserve">Logic —  </w:t>
      </w:r>
      <w:r>
        <w:rPr>
          <w:sz w:val="20"/>
          <w:szCs w:val="20"/>
        </w:rPr>
        <w:t xml:space="preserve">Counts from the latest vendor ATS snapshot; matched = vendor items that resolved to an internal SKU through the cross-reference; match rate = matched ÷ reported.</w:t>
      </w:r>
    </w:p>
    <w:p>
      <w:pPr>
        <w:spacing w:after="80"/>
        <w:ind w:left="200"/>
      </w:pPr>
      <w:r>
        <w:rPr>
          <w:b/>
          <w:bCs/>
          <w:color w:val="1F2A44"/>
          <w:sz w:val="20"/>
          <w:szCs w:val="20"/>
        </w:rPr>
        <w:t xml:space="preserve">Data —  </w:t>
      </w:r>
      <w:r>
        <w:rPr>
          <w:sz w:val="20"/>
          <w:szCs w:val="20"/>
        </w:rPr>
        <w:t xml:space="preserve">ats_coverage_v — vendor_ats (snapshot 2026-07-13) joined to dim_vendor; matching depends on item_crossref maintenance (a Data Health theme).</w:t>
      </w:r>
    </w:p>
    <w:p>
      <w:pPr>
        <w:pStyle w:val="Heading2"/>
        <w:spacing w:after="60" w:before="220"/>
      </w:pPr>
      <w:r>
        <w:rPr>
          <w:color w:val="2E5BFF"/>
        </w:rPr>
        <w:t xml:space="preserve">Acquisition plan (static card)</w:t>
      </w:r>
    </w:p>
    <w:p>
      <w:pPr>
        <w:spacing w:after="80"/>
        <w:ind w:left="200"/>
      </w:pPr>
      <w:r>
        <w:rPr>
          <w:b/>
          <w:bCs/>
          <w:color w:val="1F2A44"/>
          <w:sz w:val="20"/>
          <w:szCs w:val="20"/>
        </w:rPr>
        <w:t xml:space="preserve">Purpose —  </w:t>
      </w:r>
      <w:r>
        <w:rPr>
          <w:sz w:val="20"/>
          <w:szCs w:val="20"/>
        </w:rPr>
        <w:t xml:space="preserve">The rollout honesty slide: Tier A (Carhartt, Wolverine) is live over the existing SPS Commerce EDI pipe; Tier B portals arrive in Phase 2 via credentialed downloads/RPA; Tier C stays opportunistic — parsed email sheets with human confirmation.</w:t>
      </w:r>
    </w:p>
    <w:p>
      <w:pPr>
        <w:spacing w:after="80"/>
        <w:ind w:left="200"/>
      </w:pPr>
      <w:r>
        <w:rPr>
          <w:b/>
          <w:bCs/>
          <w:color w:val="1F2A44"/>
          <w:sz w:val="20"/>
          <w:szCs w:val="20"/>
        </w:rPr>
        <w:t xml:space="preserve">Logic —  </w:t>
      </w:r>
      <w:r>
        <w:rPr>
          <w:sz w:val="20"/>
          <w:szCs w:val="20"/>
        </w:rPr>
        <w:t xml:space="preserve">Static content — a plan, not a query.</w:t>
      </w:r>
    </w:p>
    <w:p>
      <w:pPr>
        <w:spacing w:after="80"/>
        <w:ind w:left="200"/>
      </w:pPr>
      <w:r>
        <w:rPr>
          <w:b/>
          <w:bCs/>
          <w:color w:val="1F2A44"/>
          <w:sz w:val="20"/>
          <w:szCs w:val="20"/>
        </w:rPr>
        <w:t xml:space="preserve">Data —  </w:t>
      </w:r>
      <w:r>
        <w:rPr>
          <w:sz w:val="20"/>
          <w:szCs w:val="20"/>
        </w:rPr>
        <w:t xml:space="preserve">None (narrative card).</w:t>
      </w:r>
    </w:p>
    <w:p>
      <w:r>
        <w:br w:type="page"/>
      </w:r>
    </w:p>
    <w:p>
      <w:pPr>
        <w:pStyle w:val="Heading1"/>
        <w:spacing w:after="120" w:before="300"/>
      </w:pPr>
      <w:r>
        <w:rPr>
          <w:color w:val="1F2A44"/>
        </w:rPr>
        <w:t xml:space="preserve">Module 5 — Vendor Programs &amp; Opportunity Buys</w:t>
      </w:r>
    </w:p>
    <w:p>
      <w:pPr>
        <w:spacing w:after="160"/>
      </w:pPr>
      <w:r>
        <w:rPr>
          <w:i/>
          <w:iCs/>
          <w:color w:val="5A6880"/>
          <w:sz w:val="21"/>
          <w:szCs w:val="21"/>
        </w:rPr>
        <w:t xml:space="preserve">Closeouts, tier breaks, SMUs, preseason books — offers with deadlines. Each is scored so the buyer weighs the margin uplift against the real cost of an opportunity buy: weeks of supply and broken-run risk.</w:t>
      </w:r>
    </w:p>
    <w:p>
      <w:pPr>
        <w:pStyle w:val="Heading2"/>
        <w:spacing w:after="60" w:before="220"/>
      </w:pPr>
      <w:r>
        <w:rPr>
          <w:color w:val="2E5BFF"/>
        </w:rPr>
        <w:t xml:space="preserve">Deal KPIs</w:t>
      </w:r>
    </w:p>
    <w:p>
      <w:pPr>
        <w:spacing w:after="80"/>
        <w:ind w:left="200"/>
      </w:pPr>
      <w:r>
        <w:rPr>
          <w:b/>
          <w:bCs/>
          <w:color w:val="1F2A44"/>
          <w:sz w:val="20"/>
          <w:szCs w:val="20"/>
        </w:rPr>
        <w:t xml:space="preserve">Purpose —  </w:t>
      </w:r>
      <w:r>
        <w:rPr>
          <w:sz w:val="20"/>
          <w:szCs w:val="20"/>
        </w:rPr>
        <w:t xml:space="preserve">Open offers awaiting a decision, total savings if all were committed, and how many expire within a week — urgency, quantified.</w:t>
      </w:r>
    </w:p>
    <w:p>
      <w:pPr>
        <w:spacing w:after="80"/>
        <w:ind w:left="200"/>
      </w:pPr>
      <w:r>
        <w:rPr>
          <w:b/>
          <w:bCs/>
          <w:color w:val="1F2A44"/>
          <w:sz w:val="20"/>
          <w:szCs w:val="20"/>
        </w:rPr>
        <w:t xml:space="preserve">Logic —  </w:t>
      </w:r>
      <w:r>
        <w:rPr>
          <w:sz w:val="20"/>
          <w:szCs w:val="20"/>
        </w:rPr>
        <w:t xml:space="preserve">Counts and sums over open offers; savings at commit = (base cost − offer cost) × commit quantity.</w:t>
      </w:r>
    </w:p>
    <w:p>
      <w:pPr>
        <w:spacing w:after="80"/>
        <w:ind w:left="200"/>
      </w:pPr>
      <w:r>
        <w:rPr>
          <w:b/>
          <w:bCs/>
          <w:color w:val="1F2A44"/>
          <w:sz w:val="20"/>
          <w:szCs w:val="20"/>
        </w:rPr>
        <w:t xml:space="preserve">Data —  </w:t>
      </w:r>
      <w:r>
        <w:rPr>
          <w:sz w:val="20"/>
          <w:szCs w:val="20"/>
        </w:rPr>
        <w:t xml:space="preserve">deal_pipeline_v — vendor_promo_opportunities joined to dim_vendor.</w:t>
      </w:r>
    </w:p>
    <w:p>
      <w:pPr>
        <w:pStyle w:val="Heading2"/>
        <w:spacing w:after="60" w:before="220"/>
      </w:pPr>
      <w:r>
        <w:rPr>
          <w:color w:val="2E5BFF"/>
        </w:rPr>
        <w:t xml:space="preserve">Deal pipeline (table)</w:t>
      </w:r>
    </w:p>
    <w:p>
      <w:pPr>
        <w:spacing w:after="80"/>
        <w:ind w:left="200"/>
      </w:pPr>
      <w:r>
        <w:rPr>
          <w:b/>
          <w:bCs/>
          <w:color w:val="1F2A44"/>
          <w:sz w:val="20"/>
          <w:szCs w:val="20"/>
        </w:rPr>
        <w:t xml:space="preserve">Purpose —  </w:t>
      </w:r>
      <w:r>
        <w:rPr>
          <w:sz w:val="20"/>
          <w:szCs w:val="20"/>
        </w:rPr>
        <w:t xml:space="preserve">Every live offer with its economics and an AI recommendation. The teaching point: savings alone don't decide — a 20% closeout that leaves 30 weeks of supply is a markdown problem wearing a discount costume. The AI call weighs uplift against weeks-of-supply.</w:t>
      </w:r>
    </w:p>
    <w:p>
      <w:pPr>
        <w:spacing w:after="80"/>
        <w:ind w:left="200"/>
      </w:pPr>
      <w:r>
        <w:rPr>
          <w:b/>
          <w:bCs/>
          <w:color w:val="1F2A44"/>
          <w:sz w:val="20"/>
          <w:szCs w:val="20"/>
        </w:rPr>
        <w:t xml:space="preserve">Logic —  </w:t>
      </w:r>
      <w:r>
        <w:rPr>
          <w:sz w:val="20"/>
          <w:szCs w:val="20"/>
        </w:rPr>
        <w:t xml:space="preserve">Savings, margin uplift %, and estimated weeks of supply at commit quantity come straight from the offer record; days-to-expiry counts down from the anchor date.</w:t>
      </w:r>
    </w:p>
    <w:p>
      <w:pPr>
        <w:spacing w:after="80"/>
        <w:ind w:left="200"/>
      </w:pPr>
      <w:r>
        <w:rPr>
          <w:b/>
          <w:bCs/>
          <w:color w:val="1F2A44"/>
          <w:sz w:val="20"/>
          <w:szCs w:val="20"/>
        </w:rPr>
        <w:t xml:space="preserve">Data —  </w:t>
      </w:r>
      <w:r>
        <w:rPr>
          <w:sz w:val="20"/>
          <w:szCs w:val="20"/>
        </w:rPr>
        <w:t xml:space="preserve">deal_pipeline_v — vendor_promo_opportunities (including the stored ai_recommendation text) with vendor names from dim_vendor.</w:t>
      </w:r>
    </w:p>
    <w:p>
      <w:r>
        <w:br w:type="page"/>
      </w:r>
    </w:p>
    <w:p>
      <w:pPr>
        <w:pStyle w:val="Heading1"/>
        <w:spacing w:after="120" w:before="300"/>
      </w:pPr>
      <w:r>
        <w:rPr>
          <w:color w:val="1F2A44"/>
        </w:rPr>
        <w:t xml:space="preserve">Module 6 — PO Management &amp; 3-Way Reconciliation</w:t>
      </w:r>
    </w:p>
    <w:p>
      <w:pPr>
        <w:spacing w:after="160"/>
      </w:pPr>
      <w:r>
        <w:rPr>
          <w:i/>
          <w:iCs/>
          <w:color w:val="5A6880"/>
          <w:sz w:val="21"/>
          <w:szCs w:val="21"/>
        </w:rPr>
        <w:t xml:space="preserve">The longest step of the monthly close, turned from a project into a queue. Master PO → per-store mini-POs → store receivers → vendor invoices → master statements, matched at line level nightly.</w:t>
      </w:r>
    </w:p>
    <w:p>
      <w:pPr>
        <w:pStyle w:val="Heading2"/>
        <w:spacing w:after="60" w:before="220"/>
      </w:pPr>
      <w:r>
        <w:rPr>
          <w:color w:val="2E5BFF"/>
        </w:rPr>
        <w:t xml:space="preserve">KPI strip</w:t>
      </w:r>
    </w:p>
    <w:p>
      <w:pPr>
        <w:spacing w:after="80"/>
        <w:ind w:left="200"/>
      </w:pPr>
      <w:r>
        <w:rPr>
          <w:b/>
          <w:bCs/>
          <w:color w:val="1F2A44"/>
          <w:sz w:val="20"/>
          <w:szCs w:val="20"/>
        </w:rPr>
        <w:t xml:space="preserve">Purpose —  </w:t>
      </w:r>
      <w:r>
        <w:rPr>
          <w:sz w:val="20"/>
          <w:szCs w:val="20"/>
        </w:rPr>
        <w:t xml:space="preserve">Auto-clear rate (lines needing no human), open exceptions and their dollars, variance recovered over 12 months, open POs (with how many are past requested ship), and statements on payment hold. Together: how much of the close is already done by the machine.</w:t>
      </w:r>
    </w:p>
    <w:p>
      <w:pPr>
        <w:spacing w:after="80"/>
        <w:ind w:left="200"/>
      </w:pPr>
      <w:r>
        <w:rPr>
          <w:b/>
          <w:bCs/>
          <w:color w:val="1F2A44"/>
          <w:sz w:val="20"/>
          <w:szCs w:val="20"/>
        </w:rPr>
        <w:t xml:space="preserve">Logic —  </w:t>
      </w:r>
      <w:r>
        <w:rPr>
          <w:sz w:val="20"/>
          <w:szCs w:val="20"/>
        </w:rPr>
        <w:t xml:space="preserve">Auto-clear = matched lines with no variance ÷ all matched lines. Open PO stats aggregate store-level POs still open, valued at unreceived quantity × cost. A statement is on hold when it still has open exceptions.</w:t>
      </w:r>
    </w:p>
    <w:p>
      <w:pPr>
        <w:spacing w:after="80"/>
        <w:ind w:left="200"/>
      </w:pPr>
      <w:r>
        <w:rPr>
          <w:b/>
          <w:bCs/>
          <w:color w:val="1F2A44"/>
          <w:sz w:val="20"/>
          <w:szCs w:val="20"/>
        </w:rPr>
        <w:t xml:space="preserve">Data —  </w:t>
      </w:r>
      <w:r>
        <w:rPr>
          <w:sz w:val="20"/>
          <w:szCs w:val="20"/>
        </w:rPr>
        <w:t xml:space="preserve">kpi_summary_v, match_trend_v, po_lifecycle_v, statement_recon_v — all ultimately over threeway_match, po_header/po_line, invoice_header.</w:t>
      </w:r>
    </w:p>
    <w:p>
      <w:pPr>
        <w:pStyle w:val="Heading2"/>
        <w:spacing w:after="60" w:before="220"/>
      </w:pPr>
      <w:r>
        <w:rPr>
          <w:color w:val="2E5BFF"/>
        </w:rPr>
        <w:t xml:space="preserve">Document explorer — one vendor buy, end to end</w:t>
      </w:r>
    </w:p>
    <w:p>
      <w:pPr>
        <w:spacing w:after="80"/>
        <w:ind w:left="200"/>
      </w:pPr>
      <w:r>
        <w:rPr>
          <w:b/>
          <w:bCs/>
          <w:color w:val="1F2A44"/>
          <w:sz w:val="20"/>
          <w:szCs w:val="20"/>
        </w:rPr>
        <w:t xml:space="preserve">Purpose —  </w:t>
      </w:r>
      <w:r>
        <w:rPr>
          <w:sz w:val="20"/>
          <w:szCs w:val="20"/>
        </w:rPr>
        <w:t xml:space="preserve">Pick a master PO and walk the whole direct-to-store tree: every mini-PO, its 855 acknowledgment, receipt, invoice, statement, and what the match engine found — clean, resolved, or open exception. This is the demo's "single PO table" answer to the close quagmire: one place where a buy is whole.</w:t>
      </w:r>
    </w:p>
    <w:p>
      <w:pPr>
        <w:spacing w:after="80"/>
        <w:ind w:left="200"/>
      </w:pPr>
      <w:r>
        <w:rPr>
          <w:b/>
          <w:bCs/>
          <w:color w:val="1F2A44"/>
          <w:sz w:val="20"/>
          <w:szCs w:val="20"/>
        </w:rPr>
        <w:t xml:space="preserve">Logic —  </w:t>
      </w:r>
      <w:r>
        <w:rPr>
          <w:sz w:val="20"/>
          <w:szCs w:val="20"/>
        </w:rPr>
        <w:t xml:space="preserve">Store-level POs grouped under their master; line quantities and value rolled up from PO lines; each PO joined to its receiver, invoice, and exception rollup.</w:t>
      </w:r>
    </w:p>
    <w:p>
      <w:pPr>
        <w:spacing w:after="80"/>
        <w:ind w:left="200"/>
      </w:pPr>
      <w:r>
        <w:rPr>
          <w:b/>
          <w:bCs/>
          <w:color w:val="1F2A44"/>
          <w:sz w:val="20"/>
          <w:szCs w:val="20"/>
        </w:rPr>
        <w:t xml:space="preserve">Data —  </w:t>
      </w:r>
      <w:r>
        <w:rPr>
          <w:sz w:val="20"/>
          <w:szCs w:val="20"/>
        </w:rPr>
        <w:t xml:space="preserve">po_document_tree_v — po_header (master + store levels), po_line rollups, receiver_header, invoice_header, threeway_match exception rollups, dim_vendor/dim_store.</w:t>
      </w:r>
    </w:p>
    <w:p>
      <w:pPr>
        <w:pStyle w:val="Heading2"/>
        <w:spacing w:after="60" w:before="220"/>
      </w:pPr>
      <w:r>
        <w:rPr>
          <w:color w:val="2E5BFF"/>
        </w:rPr>
        <w:t xml:space="preserve">Variance identified vs recovered by month (bar + line)</w:t>
      </w:r>
    </w:p>
    <w:p>
      <w:pPr>
        <w:spacing w:after="80"/>
        <w:ind w:left="200"/>
      </w:pPr>
      <w:r>
        <w:rPr>
          <w:b/>
          <w:bCs/>
          <w:color w:val="1F2A44"/>
          <w:sz w:val="20"/>
          <w:szCs w:val="20"/>
        </w:rPr>
        <w:t xml:space="preserve">Purpose —  </w:t>
      </w:r>
      <w:r>
        <w:rPr>
          <w:sz w:val="20"/>
          <w:szCs w:val="20"/>
        </w:rPr>
        <w:t xml:space="preserve">The recovery engine's track record: dollars of variance found, recovered, and still open by month, with the auto-clear rate trending on the right axis. The story is a rising auto-clear line — less human touch every month.</w:t>
      </w:r>
    </w:p>
    <w:p>
      <w:pPr>
        <w:spacing w:after="80"/>
        <w:ind w:left="200"/>
      </w:pPr>
      <w:r>
        <w:rPr>
          <w:b/>
          <w:bCs/>
          <w:color w:val="1F2A44"/>
          <w:sz w:val="20"/>
          <w:szCs w:val="20"/>
        </w:rPr>
        <w:t xml:space="preserve">Logic —  </w:t>
      </w:r>
      <w:r>
        <w:rPr>
          <w:sz w:val="20"/>
          <w:szCs w:val="20"/>
        </w:rPr>
        <w:t xml:space="preserve">Monthly grouping of matched invoice lines: identified = all non-clean variance; recovered = resolved or debit-memo-sent; open = still pending review.</w:t>
      </w:r>
    </w:p>
    <w:p>
      <w:pPr>
        <w:spacing w:after="80"/>
        <w:ind w:left="200"/>
      </w:pPr>
      <w:r>
        <w:rPr>
          <w:b/>
          <w:bCs/>
          <w:color w:val="1F2A44"/>
          <w:sz w:val="20"/>
          <w:szCs w:val="20"/>
        </w:rPr>
        <w:t xml:space="preserve">Data —  </w:t>
      </w:r>
      <w:r>
        <w:rPr>
          <w:sz w:val="20"/>
          <w:szCs w:val="20"/>
        </w:rPr>
        <w:t xml:space="preserve">match_trend_v — threeway_match grouped by invoice month.</w:t>
      </w:r>
    </w:p>
    <w:p>
      <w:pPr>
        <w:pStyle w:val="Heading2"/>
        <w:spacing w:after="60" w:before="220"/>
      </w:pPr>
      <w:r>
        <w:rPr>
          <w:color w:val="2E5BFF"/>
        </w:rPr>
        <w:t xml:space="preserve">Open exception aging &amp; root cause (bar + donut)</w:t>
      </w:r>
    </w:p>
    <w:p>
      <w:pPr>
        <w:spacing w:after="80"/>
        <w:ind w:left="200"/>
      </w:pPr>
      <w:r>
        <w:rPr>
          <w:b/>
          <w:bCs/>
          <w:color w:val="1F2A44"/>
          <w:sz w:val="20"/>
          <w:szCs w:val="20"/>
        </w:rPr>
        <w:t xml:space="preserve">Purpose —  </w:t>
      </w:r>
      <w:r>
        <w:rPr>
          <w:sz w:val="20"/>
          <w:szCs w:val="20"/>
        </w:rPr>
        <w:t xml:space="preserve">Aging buckets (0–15 / 16–30 / 31–60 / 60+ days) for open exceptions, plus a donut of open dollars by root cause (price variance, quantity variance, freight, etc.). Old exceptions are the close-cycle killers; causes tell you what to fix upstream.</w:t>
      </w:r>
    </w:p>
    <w:p>
      <w:pPr>
        <w:spacing w:after="80"/>
        <w:ind w:left="200"/>
      </w:pPr>
      <w:r>
        <w:rPr>
          <w:b/>
          <w:bCs/>
          <w:color w:val="1F2A44"/>
          <w:sz w:val="20"/>
          <w:szCs w:val="20"/>
        </w:rPr>
        <w:t xml:space="preserve">Logic —  </w:t>
      </w:r>
      <w:r>
        <w:rPr>
          <w:sz w:val="20"/>
          <w:szCs w:val="20"/>
        </w:rPr>
        <w:t xml:space="preserve">Age = days since invoice date; buckets computed in-app. Donut sums open variance dollars by variance type.</w:t>
      </w:r>
    </w:p>
    <w:p>
      <w:pPr>
        <w:spacing w:after="80"/>
        <w:ind w:left="200"/>
      </w:pPr>
      <w:r>
        <w:rPr>
          <w:b/>
          <w:bCs/>
          <w:color w:val="1F2A44"/>
          <w:sz w:val="20"/>
          <w:szCs w:val="20"/>
        </w:rPr>
        <w:t xml:space="preserve">Data —  </w:t>
      </w:r>
      <w:r>
        <w:rPr>
          <w:sz w:val="20"/>
          <w:szCs w:val="20"/>
        </w:rPr>
        <w:t xml:space="preserve">exception_queue_v — open threeway_match rows (PendingReview / DebitMemoSent) with vendor, store, and item context.</w:t>
      </w:r>
    </w:p>
    <w:p>
      <w:pPr>
        <w:pStyle w:val="Heading2"/>
        <w:spacing w:after="60" w:before="220"/>
      </w:pPr>
      <w:r>
        <w:rPr>
          <w:color w:val="2E5BFF"/>
        </w:rPr>
        <w:t xml:space="preserve">Master statement reconciliation (table)</w:t>
      </w:r>
    </w:p>
    <w:p>
      <w:pPr>
        <w:spacing w:after="80"/>
        <w:ind w:left="200"/>
      </w:pPr>
      <w:r>
        <w:rPr>
          <w:b/>
          <w:bCs/>
          <w:color w:val="1F2A44"/>
          <w:sz w:val="20"/>
          <w:szCs w:val="20"/>
        </w:rPr>
        <w:t xml:space="preserve">Purpose —  </w:t>
      </w:r>
      <w:r>
        <w:rPr>
          <w:sz w:val="20"/>
          <w:szCs w:val="20"/>
        </w:rPr>
        <w:t xml:space="preserve">The pay-file gate: each vendor master statement with its invoice count, total, open exceptions, and a status — Clear to pay, Pay less debit memos, or Hold for material exceptions (&gt;$500 open). Nothing gets paid while its exceptions are open; nothing clean waits.</w:t>
      </w:r>
    </w:p>
    <w:p>
      <w:pPr>
        <w:spacing w:after="80"/>
        <w:ind w:left="200"/>
      </w:pPr>
      <w:r>
        <w:rPr>
          <w:b/>
          <w:bCs/>
          <w:color w:val="1F2A44"/>
          <w:sz w:val="20"/>
          <w:szCs w:val="20"/>
        </w:rPr>
        <w:t xml:space="preserve">Logic —  </w:t>
      </w:r>
      <w:r>
        <w:rPr>
          <w:sz w:val="20"/>
          <w:szCs w:val="20"/>
        </w:rPr>
        <w:t xml:space="preserve">Invoices grouped by master statement; exception dollars rolled up per statement drive the three-way status rule.</w:t>
      </w:r>
    </w:p>
    <w:p>
      <w:pPr>
        <w:spacing w:after="80"/>
        <w:ind w:left="200"/>
      </w:pPr>
      <w:r>
        <w:rPr>
          <w:b/>
          <w:bCs/>
          <w:color w:val="1F2A44"/>
          <w:sz w:val="20"/>
          <w:szCs w:val="20"/>
        </w:rPr>
        <w:t xml:space="preserve">Data —  </w:t>
      </w:r>
      <w:r>
        <w:rPr>
          <w:sz w:val="20"/>
          <w:szCs w:val="20"/>
        </w:rPr>
        <w:t xml:space="preserve">statement_recon_v — invoice_header grouped by master statement, joined to threeway_match rollups.</w:t>
      </w:r>
    </w:p>
    <w:p>
      <w:pPr>
        <w:pStyle w:val="Heading2"/>
        <w:spacing w:after="60" w:before="220"/>
      </w:pPr>
      <w:r>
        <w:rPr>
          <w:color w:val="2E5BFF"/>
        </w:rPr>
        <w:t xml:space="preserve">Exception queue (table)</w:t>
      </w:r>
    </w:p>
    <w:p>
      <w:pPr>
        <w:spacing w:after="80"/>
        <w:ind w:left="200"/>
      </w:pPr>
      <w:r>
        <w:rPr>
          <w:b/>
          <w:bCs/>
          <w:color w:val="1F2A44"/>
          <w:sz w:val="20"/>
          <w:szCs w:val="20"/>
        </w:rPr>
        <w:t xml:space="preserve">Purpose —  </w:t>
      </w:r>
      <w:r>
        <w:rPr>
          <w:sz w:val="20"/>
          <w:szCs w:val="20"/>
        </w:rPr>
        <w:t xml:space="preserve">The worklist itself, largest dollars first, each with an AI-suggested resolution (short-ship debit memo, price-file correction, freight reclass...). The human stays accountable; the machine drafts.</w:t>
      </w:r>
    </w:p>
    <w:p>
      <w:pPr>
        <w:spacing w:after="80"/>
        <w:ind w:left="200"/>
      </w:pPr>
      <w:r>
        <w:rPr>
          <w:b/>
          <w:bCs/>
          <w:color w:val="1F2A44"/>
          <w:sz w:val="20"/>
          <w:szCs w:val="20"/>
        </w:rPr>
        <w:t xml:space="preserve">Logic —  </w:t>
      </w:r>
      <w:r>
        <w:rPr>
          <w:sz w:val="20"/>
          <w:szCs w:val="20"/>
        </w:rPr>
        <w:t xml:space="preserve">Open exceptions sorted by variance amount; the suggestion text is stored with the match row.</w:t>
      </w:r>
    </w:p>
    <w:p>
      <w:pPr>
        <w:spacing w:after="80"/>
        <w:ind w:left="200"/>
      </w:pPr>
      <w:r>
        <w:rPr>
          <w:b/>
          <w:bCs/>
          <w:color w:val="1F2A44"/>
          <w:sz w:val="20"/>
          <w:szCs w:val="20"/>
        </w:rPr>
        <w:t xml:space="preserve">Data —  </w:t>
      </w:r>
      <w:r>
        <w:rPr>
          <w:sz w:val="20"/>
          <w:szCs w:val="20"/>
        </w:rPr>
        <w:t xml:space="preserve">exception_queue_v — threeway_match with po_header, dim_vendor, and item attributes.</w:t>
      </w:r>
    </w:p>
    <w:p>
      <w:r>
        <w:br w:type="page"/>
      </w:r>
    </w:p>
    <w:p>
      <w:pPr>
        <w:pStyle w:val="Heading1"/>
        <w:spacing w:after="120" w:before="300"/>
      </w:pPr>
      <w:r>
        <w:rPr>
          <w:color w:val="1F2A44"/>
        </w:rPr>
        <w:t xml:space="preserve">Module 7 — Pricing &amp; Promotion</w:t>
      </w:r>
    </w:p>
    <w:p>
      <w:pPr>
        <w:spacing w:after="160"/>
      </w:pPr>
      <w:r>
        <w:rPr>
          <w:i/>
          <w:iCs/>
          <w:color w:val="5A6880"/>
          <w:sz w:val="21"/>
          <w:szCs w:val="21"/>
        </w:rPr>
        <w:t xml:space="preserve">Vendor price files in, staged ERP updates out — with every event carrying its margin impact, its pre-buy option, and its store execution trail. Nothing touches the ERP without an approval click.</w:t>
      </w:r>
    </w:p>
    <w:p>
      <w:pPr>
        <w:pStyle w:val="Heading2"/>
        <w:spacing w:after="60" w:before="220"/>
      </w:pPr>
      <w:r>
        <w:rPr>
          <w:color w:val="2E5BFF"/>
        </w:rPr>
        <w:t xml:space="preserve">KPI strip</w:t>
      </w:r>
    </w:p>
    <w:p>
      <w:pPr>
        <w:spacing w:after="80"/>
        <w:ind w:left="200"/>
      </w:pPr>
      <w:r>
        <w:rPr>
          <w:b/>
          <w:bCs/>
          <w:color w:val="1F2A44"/>
          <w:sz w:val="20"/>
          <w:szCs w:val="20"/>
        </w:rPr>
        <w:t xml:space="preserve">Purpose —  </w:t>
      </w:r>
      <w:r>
        <w:rPr>
          <w:sz w:val="20"/>
          <w:szCs w:val="20"/>
        </w:rPr>
        <w:t xml:space="preserve">Pipeline size and urgency (upcoming vs overdue events), the next effective date, SKUs touched, the annual margin delta of the staged 8/1 increase, the pre-buy savings on the table, and store tasks overdue from price events.</w:t>
      </w:r>
    </w:p>
    <w:p>
      <w:pPr>
        <w:spacing w:after="80"/>
        <w:ind w:left="200"/>
      </w:pPr>
      <w:r>
        <w:rPr>
          <w:b/>
          <w:bCs/>
          <w:color w:val="1F2A44"/>
          <w:sz w:val="20"/>
          <w:szCs w:val="20"/>
        </w:rPr>
        <w:t xml:space="preserve">Logic —  </w:t>
      </w:r>
      <w:r>
        <w:rPr>
          <w:sz w:val="20"/>
          <w:szCs w:val="20"/>
        </w:rPr>
        <w:t xml:space="preserve">Workflow states and task rollups from the event pipeline; margin delta and pre-buy sums from the two analysis views below.</w:t>
      </w:r>
    </w:p>
    <w:p>
      <w:pPr>
        <w:spacing w:after="80"/>
        <w:ind w:left="200"/>
      </w:pPr>
      <w:r>
        <w:rPr>
          <w:b/>
          <w:bCs/>
          <w:color w:val="1F2A44"/>
          <w:sz w:val="20"/>
          <w:szCs w:val="20"/>
        </w:rPr>
        <w:t xml:space="preserve">Data —  </w:t>
      </w:r>
      <w:r>
        <w:rPr>
          <w:sz w:val="20"/>
          <w:szCs w:val="20"/>
        </w:rPr>
        <w:t xml:space="preserve">price_event_pipeline_v, price_impact_v, prebuy_analysis_v.</w:t>
      </w:r>
    </w:p>
    <w:p>
      <w:pPr>
        <w:pStyle w:val="Heading2"/>
        <w:spacing w:after="60" w:before="220"/>
      </w:pPr>
      <w:r>
        <w:rPr>
          <w:color w:val="2E5BFF"/>
        </w:rPr>
        <w:t xml:space="preserve">Price &amp; promo event pipeline (table)</w:t>
      </w:r>
    </w:p>
    <w:p>
      <w:pPr>
        <w:spacing w:after="80"/>
        <w:ind w:left="200"/>
      </w:pPr>
      <w:r>
        <w:rPr>
          <w:b/>
          <w:bCs/>
          <w:color w:val="1F2A44"/>
          <w:sz w:val="20"/>
          <w:szCs w:val="20"/>
        </w:rPr>
        <w:t xml:space="preserve">Purpose —  </w:t>
      </w:r>
      <w:r>
        <w:rPr>
          <w:sz w:val="20"/>
          <w:szCs w:val="20"/>
        </w:rPr>
        <w:t xml:space="preserve">Every price event — vendor increases, markdowns, promo starts/ends — with its workflow state machine: Announced → ERP updated → Executed (ERP + stores notified + labels generated), or OVERDUE if the effective date passed without staging. Store-task and comms columns show execution, not just intent.</w:t>
      </w:r>
    </w:p>
    <w:p>
      <w:pPr>
        <w:spacing w:after="80"/>
        <w:ind w:left="200"/>
      </w:pPr>
      <w:r>
        <w:rPr>
          <w:b/>
          <w:bCs/>
          <w:color w:val="1F2A44"/>
          <w:sz w:val="20"/>
          <w:szCs w:val="20"/>
        </w:rPr>
        <w:t xml:space="preserve">Logic —  </w:t>
      </w:r>
      <w:r>
        <w:rPr>
          <w:sz w:val="20"/>
          <w:szCs w:val="20"/>
        </w:rPr>
        <w:t xml:space="preserve">State derived from three flags on the event (ERP updated, stores notified, label file generated) plus the effective date; task counts roll up from store tasks linked to the event; comms status from the drafted/sent message.</w:t>
      </w:r>
    </w:p>
    <w:p>
      <w:pPr>
        <w:spacing w:after="80"/>
        <w:ind w:left="200"/>
      </w:pPr>
      <w:r>
        <w:rPr>
          <w:b/>
          <w:bCs/>
          <w:color w:val="1F2A44"/>
          <w:sz w:val="20"/>
          <w:szCs w:val="20"/>
        </w:rPr>
        <w:t xml:space="preserve">Data —  </w:t>
      </w:r>
      <w:r>
        <w:rPr>
          <w:sz w:val="20"/>
          <w:szCs w:val="20"/>
        </w:rPr>
        <w:t xml:space="preserve">price_event_pipeline_v — price_change_events + store_tasks rollup + comms_log, vendors from dim_vendor.</w:t>
      </w:r>
    </w:p>
    <w:p>
      <w:pPr>
        <w:pStyle w:val="Heading2"/>
        <w:spacing w:after="60" w:before="220"/>
      </w:pPr>
      <w:r>
        <w:rPr>
          <w:color w:val="2E5BFF"/>
        </w:rPr>
        <w:t xml:space="preserve">Margin impact preview — Carhartt increase, effective 8/1 (bar)</w:t>
      </w:r>
    </w:p>
    <w:p>
      <w:pPr>
        <w:spacing w:after="80"/>
        <w:ind w:left="200"/>
      </w:pPr>
      <w:r>
        <w:rPr>
          <w:b/>
          <w:bCs/>
          <w:color w:val="1F2A44"/>
          <w:sz w:val="20"/>
          <w:szCs w:val="20"/>
        </w:rPr>
        <w:t xml:space="preserve">Purpose —  </w:t>
      </w:r>
      <w:r>
        <w:rPr>
          <w:sz w:val="20"/>
          <w:szCs w:val="20"/>
        </w:rPr>
        <w:t xml:space="preserve">The staged vendor increase, made explicit: cost +5.5%, retail +10% per the vendor 832 file — margin % before vs after for each affected style. The point: following the vendor's suggested retail is a decision, and this makes it explicit instead of accidental.</w:t>
      </w:r>
    </w:p>
    <w:p>
      <w:pPr>
        <w:spacing w:after="80"/>
        <w:ind w:left="200"/>
      </w:pPr>
      <w:r>
        <w:rPr>
          <w:b/>
          <w:bCs/>
          <w:color w:val="1F2A44"/>
          <w:sz w:val="20"/>
          <w:szCs w:val="20"/>
        </w:rPr>
        <w:t xml:space="preserve">Logic —  </w:t>
      </w:r>
      <w:r>
        <w:rPr>
          <w:sz w:val="20"/>
          <w:szCs w:val="20"/>
        </w:rPr>
        <w:t xml:space="preserve">Old vs new cost and retail from the two price files (1/1 regular vs 8/1 staged); annual margin delta = weekly unit rate × change in unit margin × 52.</w:t>
      </w:r>
    </w:p>
    <w:p>
      <w:pPr>
        <w:spacing w:after="80"/>
        <w:ind w:left="200"/>
      </w:pPr>
      <w:r>
        <w:rPr>
          <w:b/>
          <w:bCs/>
          <w:color w:val="1F2A44"/>
          <w:sz w:val="20"/>
          <w:szCs w:val="20"/>
        </w:rPr>
        <w:t xml:space="preserve">Data —  </w:t>
      </w:r>
      <w:r>
        <w:rPr>
          <w:sz w:val="20"/>
          <w:szCs w:val="20"/>
        </w:rPr>
        <w:t xml:space="preserve">price_impact_v — price_master (both effective dates) joined through dim_sku/dim_style, with the 8-week sales run rate from fact_sales_daily.</w:t>
      </w:r>
    </w:p>
    <w:p>
      <w:pPr>
        <w:pStyle w:val="Heading2"/>
        <w:spacing w:after="60" w:before="220"/>
      </w:pPr>
      <w:r>
        <w:rPr>
          <w:color w:val="2E5BFF"/>
        </w:rPr>
        <w:t xml:space="preserve">Pre-buy option — announced increases (bar)</w:t>
      </w:r>
    </w:p>
    <w:p>
      <w:pPr>
        <w:spacing w:after="80"/>
        <w:ind w:left="200"/>
      </w:pPr>
      <w:r>
        <w:rPr>
          <w:b/>
          <w:bCs/>
          <w:color w:val="1F2A44"/>
          <w:sz w:val="20"/>
          <w:szCs w:val="20"/>
        </w:rPr>
        <w:t xml:space="preserve">Purpose —  </w:t>
      </w:r>
      <w:r>
        <w:rPr>
          <w:sz w:val="20"/>
          <w:szCs w:val="20"/>
        </w:rPr>
        <w:t xml:space="preserve">For each announced increase: buy at today's cost before the effective date. Grey bar = cash outlay, green = savings captured. The guardrail does the talking: pre-buys are capped at 6 weeks of supply so a price play never becomes a markdown problem.</w:t>
      </w:r>
    </w:p>
    <w:p>
      <w:pPr>
        <w:spacing w:after="80"/>
        <w:ind w:left="200"/>
      </w:pPr>
      <w:r>
        <w:rPr>
          <w:b/>
          <w:bCs/>
          <w:color w:val="1F2A44"/>
          <w:sz w:val="20"/>
          <w:szCs w:val="20"/>
        </w:rPr>
        <w:t xml:space="preserve">Logic —  </w:t>
      </w:r>
      <w:r>
        <w:rPr>
          <w:sz w:val="20"/>
          <w:szCs w:val="20"/>
        </w:rPr>
        <w:t xml:space="preserve">Suggested pre-buy quantity = 6 weeks of demand at the current 8-week burn rate; savings = quantity × cost delta; outlay = quantity × today's cost.</w:t>
      </w:r>
    </w:p>
    <w:p>
      <w:pPr>
        <w:spacing w:after="80"/>
        <w:ind w:left="200"/>
      </w:pPr>
      <w:r>
        <w:rPr>
          <w:b/>
          <w:bCs/>
          <w:color w:val="1F2A44"/>
          <w:sz w:val="20"/>
          <w:szCs w:val="20"/>
        </w:rPr>
        <w:t xml:space="preserve">Data —  </w:t>
      </w:r>
      <w:r>
        <w:rPr>
          <w:sz w:val="20"/>
          <w:szCs w:val="20"/>
        </w:rPr>
        <w:t xml:space="preserve">prebuy_analysis_v — announced increases joined to the sales run rate (fact_sales_daily × demand_base).</w:t>
      </w:r>
    </w:p>
    <w:p>
      <w:pPr>
        <w:pStyle w:val="Heading2"/>
        <w:spacing w:after="60" w:before="220"/>
      </w:pPr>
      <w:r>
        <w:rPr>
          <w:color w:val="2E5BFF"/>
        </w:rPr>
        <w:t xml:space="preserve">Pre-buy detail by style (table)</w:t>
      </w:r>
    </w:p>
    <w:p>
      <w:pPr>
        <w:spacing w:after="80"/>
        <w:ind w:left="200"/>
      </w:pPr>
      <w:r>
        <w:rPr>
          <w:b/>
          <w:bCs/>
          <w:color w:val="1F2A44"/>
          <w:sz w:val="20"/>
          <w:szCs w:val="20"/>
        </w:rPr>
        <w:t xml:space="preserve">Purpose —  </w:t>
      </w:r>
      <w:r>
        <w:rPr>
          <w:sz w:val="20"/>
          <w:szCs w:val="20"/>
        </w:rPr>
        <w:t xml:space="preserve">The same math at style level, so a buyer can cherry-pick rather than take the whole program.</w:t>
      </w:r>
    </w:p>
    <w:p>
      <w:pPr>
        <w:spacing w:after="80"/>
        <w:ind w:left="200"/>
      </w:pPr>
      <w:r>
        <w:rPr>
          <w:b/>
          <w:bCs/>
          <w:color w:val="1F2A44"/>
          <w:sz w:val="20"/>
          <w:szCs w:val="20"/>
        </w:rPr>
        <w:t xml:space="preserve">Logic —  </w:t>
      </w:r>
      <w:r>
        <w:rPr>
          <w:sz w:val="20"/>
          <w:szCs w:val="20"/>
        </w:rPr>
        <w:t xml:space="preserve">One row per style under an announced increase: weekly units, cost delta per unit, suggested quantity, outlay, savings.</w:t>
      </w:r>
    </w:p>
    <w:p>
      <w:pPr>
        <w:spacing w:after="80"/>
        <w:ind w:left="200"/>
      </w:pPr>
      <w:r>
        <w:rPr>
          <w:b/>
          <w:bCs/>
          <w:color w:val="1F2A44"/>
          <w:sz w:val="20"/>
          <w:szCs w:val="20"/>
        </w:rPr>
        <w:t xml:space="preserve">Data —  </w:t>
      </w:r>
      <w:r>
        <w:rPr>
          <w:sz w:val="20"/>
          <w:szCs w:val="20"/>
        </w:rPr>
        <w:t xml:space="preserve">prebuy_analysis_v.</w:t>
      </w:r>
    </w:p>
    <w:p>
      <w:pPr>
        <w:pStyle w:val="Heading2"/>
        <w:spacing w:after="60" w:before="220"/>
      </w:pPr>
      <w:r>
        <w:rPr>
          <w:color w:val="2E5BFF"/>
        </w:rPr>
        <w:t xml:space="preserve">Price file ingestion — by vendor tier (table + bullets)</w:t>
      </w:r>
    </w:p>
    <w:p>
      <w:pPr>
        <w:spacing w:after="80"/>
        <w:ind w:left="200"/>
      </w:pPr>
      <w:r>
        <w:rPr>
          <w:b/>
          <w:bCs/>
          <w:color w:val="1F2A44"/>
          <w:sz w:val="20"/>
          <w:szCs w:val="20"/>
        </w:rPr>
        <w:t xml:space="preserve">Purpose —  </w:t>
      </w:r>
      <w:r>
        <w:rPr>
          <w:sz w:val="20"/>
          <w:szCs w:val="20"/>
        </w:rPr>
        <w:t xml:space="preserve">How price updates physically arrive per vendor tier (EDI 832 / portal / parsed email), and the governance path: diffs land against the price master, a buyer approves, then the ERP is updated. Approved events auto-spawn store retag tasks and an LLM-drafted change digest (Module 9).</w:t>
      </w:r>
    </w:p>
    <w:p>
      <w:pPr>
        <w:spacing w:after="80"/>
        <w:ind w:left="200"/>
      </w:pPr>
      <w:r>
        <w:rPr>
          <w:b/>
          <w:bCs/>
          <w:color w:val="1F2A44"/>
          <w:sz w:val="20"/>
          <w:szCs w:val="20"/>
        </w:rPr>
        <w:t xml:space="preserve">Logic —  </w:t>
      </w:r>
      <w:r>
        <w:rPr>
          <w:sz w:val="20"/>
          <w:szCs w:val="20"/>
        </w:rPr>
        <w:t xml:space="preserve">Vendor counts grouped by sophistication tier, mapped to their ingestion method.</w:t>
      </w:r>
    </w:p>
    <w:p>
      <w:pPr>
        <w:spacing w:after="80"/>
        <w:ind w:left="200"/>
      </w:pPr>
      <w:r>
        <w:rPr>
          <w:b/>
          <w:bCs/>
          <w:color w:val="1F2A44"/>
          <w:sz w:val="20"/>
          <w:szCs w:val="20"/>
        </w:rPr>
        <w:t xml:space="preserve">Data —  </w:t>
      </w:r>
      <w:r>
        <w:rPr>
          <w:sz w:val="20"/>
          <w:szCs w:val="20"/>
        </w:rPr>
        <w:t xml:space="preserve">dim_vendor (registry table read directly).</w:t>
      </w:r>
    </w:p>
    <w:p>
      <w:r>
        <w:br w:type="page"/>
      </w:r>
    </w:p>
    <w:p>
      <w:pPr>
        <w:pStyle w:val="Heading1"/>
        <w:spacing w:after="120" w:before="300"/>
      </w:pPr>
      <w:r>
        <w:rPr>
          <w:color w:val="1F2A44"/>
        </w:rPr>
        <w:t xml:space="preserve">Module 8 — Markdown Management</w:t>
      </w:r>
    </w:p>
    <w:p>
      <w:pPr>
        <w:spacing w:after="160"/>
      </w:pPr>
      <w:r>
        <w:rPr>
          <w:i/>
          <w:iCs/>
          <w:color w:val="5A6880"/>
          <w:sz w:val="21"/>
          <w:szCs w:val="21"/>
        </w:rPr>
        <w:t xml:space="preserve">Fewer, later, smarter markdowns. Sell-through — not the calendar — triggers the ladder; a margin floor protects the bottom steps; experiments test the timing; stores get the label files automatically.</w:t>
      </w:r>
    </w:p>
    <w:p>
      <w:pPr>
        <w:pStyle w:val="Heading2"/>
        <w:spacing w:after="60" w:before="220"/>
      </w:pPr>
      <w:r>
        <w:rPr>
          <w:color w:val="2E5BFF"/>
        </w:rPr>
        <w:t xml:space="preserve">KPI strip</w:t>
      </w:r>
    </w:p>
    <w:p>
      <w:pPr>
        <w:spacing w:after="80"/>
        <w:ind w:left="200"/>
      </w:pPr>
      <w:r>
        <w:rPr>
          <w:b/>
          <w:bCs/>
          <w:color w:val="1F2A44"/>
          <w:sz w:val="20"/>
          <w:szCs w:val="20"/>
        </w:rPr>
        <w:t xml:space="preserve">Purpose —  </w:t>
      </w:r>
      <w:r>
        <w:rPr>
          <w:sz w:val="20"/>
          <w:szCs w:val="20"/>
        </w:rPr>
        <w:t xml:space="preserve">Season sell-through vs plan, active policies (plus the delayed-ladder test), sales since the first markdown step, ladder steps priced below the margin floor, and execution debt: markdown events not yet staged and label tasks overdue.</w:t>
      </w:r>
    </w:p>
    <w:p>
      <w:pPr>
        <w:spacing w:after="80"/>
        <w:ind w:left="200"/>
      </w:pPr>
      <w:r>
        <w:rPr>
          <w:b/>
          <w:bCs/>
          <w:color w:val="1F2A44"/>
          <w:sz w:val="20"/>
          <w:szCs w:val="20"/>
        </w:rPr>
        <w:t xml:space="preserve">Logic —  </w:t>
      </w:r>
      <w:r>
        <w:rPr>
          <w:sz w:val="20"/>
          <w:szCs w:val="20"/>
        </w:rPr>
        <w:t xml:space="preserve">Sell-through and step markers from the season view; floor breaches counted from the ladder view; execution states from the price event pipeline filtered to markdowns.</w:t>
      </w:r>
    </w:p>
    <w:p>
      <w:pPr>
        <w:spacing w:after="80"/>
        <w:ind w:left="200"/>
      </w:pPr>
      <w:r>
        <w:rPr>
          <w:b/>
          <w:bCs/>
          <w:color w:val="1F2A44"/>
          <w:sz w:val="20"/>
          <w:szCs w:val="20"/>
        </w:rPr>
        <w:t xml:space="preserve">Data —  </w:t>
      </w:r>
      <w:r>
        <w:rPr>
          <w:sz w:val="20"/>
          <w:szCs w:val="20"/>
        </w:rPr>
        <w:t xml:space="preserve">markdown_season_v, markdown_policy, markdown_ladder_v, price_event_pipeline_v.</w:t>
      </w:r>
    </w:p>
    <w:p>
      <w:pPr>
        <w:pStyle w:val="Heading2"/>
        <w:spacing w:after="60" w:before="220"/>
      </w:pPr>
      <w:r>
        <w:rPr>
          <w:color w:val="2E5BFF"/>
        </w:rPr>
        <w:t xml:space="preserve">Rainwear season — sell-through vs the ladder (bar + line)</w:t>
      </w:r>
    </w:p>
    <w:p>
      <w:pPr>
        <w:spacing w:after="80"/>
        <w:ind w:left="200"/>
      </w:pPr>
      <w:r>
        <w:rPr>
          <w:b/>
          <w:bCs/>
          <w:color w:val="1F2A44"/>
          <w:sz w:val="20"/>
          <w:szCs w:val="20"/>
        </w:rPr>
        <w:t xml:space="preserve">Purpose —  </w:t>
      </w:r>
      <w:r>
        <w:rPr>
          <w:sz w:val="20"/>
          <w:szCs w:val="20"/>
        </w:rPr>
        <w:t xml:space="preserve">The season told as one chart: weekly units (bars), cumulative sell-through (line) against the 60%-by-week-10 trigger, and orange diamonds where ladder steps fired. The question it answers on sight: did we mark down because the season said so, or because the calendar did?</w:t>
      </w:r>
    </w:p>
    <w:p>
      <w:pPr>
        <w:spacing w:after="80"/>
        <w:ind w:left="200"/>
      </w:pPr>
      <w:r>
        <w:rPr>
          <w:b/>
          <w:bCs/>
          <w:color w:val="1F2A44"/>
          <w:sz w:val="20"/>
          <w:szCs w:val="20"/>
        </w:rPr>
        <w:t xml:space="preserve">Logic —  </w:t>
      </w:r>
      <w:r>
        <w:rPr>
          <w:sz w:val="20"/>
          <w:szCs w:val="20"/>
        </w:rPr>
        <w:t xml:space="preserve">Cumulative sell-through = units sold to date ÷ estimated season supply (units sold + current on-hand). Step markers carry the realized average price that week, so you can see the price actually move.</w:t>
      </w:r>
    </w:p>
    <w:p>
      <w:pPr>
        <w:spacing w:after="80"/>
        <w:ind w:left="200"/>
      </w:pPr>
      <w:r>
        <w:rPr>
          <w:b/>
          <w:bCs/>
          <w:color w:val="1F2A44"/>
          <w:sz w:val="20"/>
          <w:szCs w:val="20"/>
        </w:rPr>
        <w:t xml:space="preserve">Data —  </w:t>
      </w:r>
      <w:r>
        <w:rPr>
          <w:sz w:val="20"/>
          <w:szCs w:val="20"/>
        </w:rPr>
        <w:t xml:space="preserve">markdown_season_v — fact_sales_daily filtered to the rainwear category, weekly, with on-hand from fact_inventory_daily; trigger and steps per policy MD-001.</w:t>
      </w:r>
    </w:p>
    <w:p>
      <w:pPr>
        <w:pStyle w:val="Heading2"/>
        <w:spacing w:after="60" w:before="220"/>
      </w:pPr>
      <w:r>
        <w:rPr>
          <w:color w:val="2E5BFF"/>
        </w:rPr>
        <w:t xml:space="preserve">Ladder economics vs the floor (bar + line)</w:t>
      </w:r>
    </w:p>
    <w:p>
      <w:pPr>
        <w:spacing w:after="80"/>
        <w:ind w:left="200"/>
      </w:pPr>
      <w:r>
        <w:rPr>
          <w:b/>
          <w:bCs/>
          <w:color w:val="1F2A44"/>
          <w:sz w:val="20"/>
          <w:szCs w:val="20"/>
        </w:rPr>
        <w:t xml:space="preserve">Purpose —  </w:t>
      </w:r>
      <w:r>
        <w:rPr>
          <w:sz w:val="20"/>
          <w:szCs w:val="20"/>
        </w:rPr>
        <w:t xml:space="preserve">Pick a style: margin % at each ladder step (regular → 20% → 30% → 50% off), with the policy's margin floor as a dashed line. Red bars breach the floor — those steps clear inventory but destroy margin, so the win is never needing them. This is the argument for triggering earlier, smaller markdowns.</w:t>
      </w:r>
    </w:p>
    <w:p>
      <w:pPr>
        <w:spacing w:after="80"/>
        <w:ind w:left="200"/>
      </w:pPr>
      <w:r>
        <w:rPr>
          <w:b/>
          <w:bCs/>
          <w:color w:val="1F2A44"/>
          <w:sz w:val="20"/>
          <w:szCs w:val="20"/>
        </w:rPr>
        <w:t xml:space="preserve">Logic —  </w:t>
      </w:r>
      <w:r>
        <w:rPr>
          <w:sz w:val="20"/>
          <w:szCs w:val="20"/>
        </w:rPr>
        <w:t xml:space="preserve">Step price = regular retail × (1 − discount); margin % at step = (step price − cost) ÷ step price; compared against the policy floor.</w:t>
      </w:r>
    </w:p>
    <w:p>
      <w:pPr>
        <w:spacing w:after="80"/>
        <w:ind w:left="200"/>
      </w:pPr>
      <w:r>
        <w:rPr>
          <w:b/>
          <w:bCs/>
          <w:color w:val="1F2A44"/>
          <w:sz w:val="20"/>
          <w:szCs w:val="20"/>
        </w:rPr>
        <w:t xml:space="preserve">Data —  </w:t>
      </w:r>
      <w:r>
        <w:rPr>
          <w:sz w:val="20"/>
          <w:szCs w:val="20"/>
        </w:rPr>
        <w:t xml:space="preserve">markdown_ladder_v — policy ladder steps priced against dim_style cost/retail, floors from markdown_policy.</w:t>
      </w:r>
    </w:p>
    <w:p>
      <w:pPr>
        <w:pStyle w:val="Heading2"/>
        <w:spacing w:after="60" w:before="220"/>
      </w:pPr>
      <w:r>
        <w:rPr>
          <w:color w:val="2E5BFF"/>
        </w:rPr>
        <w:t xml:space="preserve">Policy board (table)</w:t>
      </w:r>
    </w:p>
    <w:p>
      <w:pPr>
        <w:spacing w:after="80"/>
        <w:ind w:left="200"/>
      </w:pPr>
      <w:r>
        <w:rPr>
          <w:b/>
          <w:bCs/>
          <w:color w:val="1F2A44"/>
          <w:sz w:val="20"/>
          <w:szCs w:val="20"/>
        </w:rPr>
        <w:t xml:space="preserve">Purpose —  </w:t>
      </w:r>
      <w:r>
        <w:rPr>
          <w:sz w:val="20"/>
          <w:szCs w:val="20"/>
        </w:rPr>
        <w:t xml:space="preserve">The rulebook: each markdown policy's scope, trigger, ladder, floor, and status — including MD-004, the delayed-ladder variant currently in test.</w:t>
      </w:r>
    </w:p>
    <w:p>
      <w:pPr>
        <w:spacing w:after="80"/>
        <w:ind w:left="200"/>
      </w:pPr>
      <w:r>
        <w:rPr>
          <w:b/>
          <w:bCs/>
          <w:color w:val="1F2A44"/>
          <w:sz w:val="20"/>
          <w:szCs w:val="20"/>
        </w:rPr>
        <w:t xml:space="preserve">Logic —  </w:t>
      </w:r>
      <w:r>
        <w:rPr>
          <w:sz w:val="20"/>
          <w:szCs w:val="20"/>
        </w:rPr>
        <w:t xml:space="preserve">Direct read of the policy registry.</w:t>
      </w:r>
    </w:p>
    <w:p>
      <w:pPr>
        <w:spacing w:after="80"/>
        <w:ind w:left="200"/>
      </w:pPr>
      <w:r>
        <w:rPr>
          <w:b/>
          <w:bCs/>
          <w:color w:val="1F2A44"/>
          <w:sz w:val="20"/>
          <w:szCs w:val="20"/>
        </w:rPr>
        <w:t xml:space="preserve">Data —  </w:t>
      </w:r>
      <w:r>
        <w:rPr>
          <w:sz w:val="20"/>
          <w:szCs w:val="20"/>
        </w:rPr>
        <w:t xml:space="preserve">markdown_policy (registry table).</w:t>
      </w:r>
    </w:p>
    <w:p>
      <w:pPr>
        <w:pStyle w:val="Heading2"/>
        <w:spacing w:after="60" w:before="220"/>
      </w:pPr>
      <w:r>
        <w:rPr>
          <w:color w:val="2E5BFF"/>
        </w:rPr>
        <w:t xml:space="preserve">Timing experiments (cards)</w:t>
      </w:r>
    </w:p>
    <w:p>
      <w:pPr>
        <w:spacing w:after="80"/>
        <w:ind w:left="200"/>
      </w:pPr>
      <w:r>
        <w:rPr>
          <w:b/>
          <w:bCs/>
          <w:color w:val="1F2A44"/>
          <w:sz w:val="20"/>
          <w:szCs w:val="20"/>
        </w:rPr>
        <w:t xml:space="preserve">Purpose —  </w:t>
      </w:r>
      <w:r>
        <w:rPr>
          <w:sz w:val="20"/>
          <w:szCs w:val="20"/>
        </w:rPr>
        <w:t xml:space="preserve">Markdown timing treated as a testable hypothesis, not a habit. Each card: the hypothesis, the measured result, the AI summary, and the rollout decision.</w:t>
      </w:r>
    </w:p>
    <w:p>
      <w:pPr>
        <w:spacing w:after="80"/>
        <w:ind w:left="200"/>
      </w:pPr>
      <w:r>
        <w:rPr>
          <w:b/>
          <w:bCs/>
          <w:color w:val="1F2A44"/>
          <w:sz w:val="20"/>
          <w:szCs w:val="20"/>
        </w:rPr>
        <w:t xml:space="preserve">Logic —  </w:t>
      </w:r>
      <w:r>
        <w:rPr>
          <w:sz w:val="20"/>
          <w:szCs w:val="20"/>
        </w:rPr>
        <w:t xml:space="preserve">Direct read of the experiments registry, filtered to markdown/rainwear tests.</w:t>
      </w:r>
    </w:p>
    <w:p>
      <w:pPr>
        <w:spacing w:after="80"/>
        <w:ind w:left="200"/>
      </w:pPr>
      <w:r>
        <w:rPr>
          <w:b/>
          <w:bCs/>
          <w:color w:val="1F2A44"/>
          <w:sz w:val="20"/>
          <w:szCs w:val="20"/>
        </w:rPr>
        <w:t xml:space="preserve">Data —  </w:t>
      </w:r>
      <w:r>
        <w:rPr>
          <w:sz w:val="20"/>
          <w:szCs w:val="20"/>
        </w:rPr>
        <w:t xml:space="preserve">experiments (registry table).</w:t>
      </w:r>
    </w:p>
    <w:p>
      <w:pPr>
        <w:pStyle w:val="Heading2"/>
        <w:spacing w:after="60" w:before="220"/>
      </w:pPr>
      <w:r>
        <w:rPr>
          <w:color w:val="2E5BFF"/>
        </w:rPr>
        <w:t xml:space="preserve">Markdown execution trail (table)</w:t>
      </w:r>
    </w:p>
    <w:p>
      <w:pPr>
        <w:spacing w:after="80"/>
        <w:ind w:left="200"/>
      </w:pPr>
      <w:r>
        <w:rPr>
          <w:b/>
          <w:bCs/>
          <w:color w:val="1F2A44"/>
          <w:sz w:val="20"/>
          <w:szCs w:val="20"/>
        </w:rPr>
        <w:t xml:space="preserve">Purpose —  </w:t>
      </w:r>
      <w:r>
        <w:rPr>
          <w:sz w:val="20"/>
          <w:szCs w:val="20"/>
        </w:rPr>
        <w:t xml:space="preserve">Each markdown event with its label-file status and per-store task completion — the last mile. A markdown that never got new shelf labels didn't happen.</w:t>
      </w:r>
    </w:p>
    <w:p>
      <w:pPr>
        <w:spacing w:after="80"/>
        <w:ind w:left="200"/>
      </w:pPr>
      <w:r>
        <w:rPr>
          <w:b/>
          <w:bCs/>
          <w:color w:val="1F2A44"/>
          <w:sz w:val="20"/>
          <w:szCs w:val="20"/>
        </w:rPr>
        <w:t xml:space="preserve">Logic —  </w:t>
      </w:r>
      <w:r>
        <w:rPr>
          <w:sz w:val="20"/>
          <w:szCs w:val="20"/>
        </w:rPr>
        <w:t xml:space="preserve">Markdown-type events from the pipeline with task rollups (done / total / overdue) and the label-file flag.</w:t>
      </w:r>
    </w:p>
    <w:p>
      <w:pPr>
        <w:spacing w:after="80"/>
        <w:ind w:left="200"/>
      </w:pPr>
      <w:r>
        <w:rPr>
          <w:b/>
          <w:bCs/>
          <w:color w:val="1F2A44"/>
          <w:sz w:val="20"/>
          <w:szCs w:val="20"/>
        </w:rPr>
        <w:t xml:space="preserve">Data —  </w:t>
      </w:r>
      <w:r>
        <w:rPr>
          <w:sz w:val="20"/>
          <w:szCs w:val="20"/>
        </w:rPr>
        <w:t xml:space="preserve">price_event_pipeline_v filtered to event_type = 'Markdown'.</w:t>
      </w:r>
    </w:p>
    <w:p>
      <w:r>
        <w:br w:type="page"/>
      </w:r>
    </w:p>
    <w:p>
      <w:pPr>
        <w:pStyle w:val="Heading1"/>
        <w:spacing w:after="120" w:before="300"/>
      </w:pPr>
      <w:r>
        <w:rPr>
          <w:color w:val="1F2A44"/>
        </w:rPr>
        <w:t xml:space="preserve">Module 9 — Team Communications &amp; Store Tasks</w:t>
      </w:r>
    </w:p>
    <w:p>
      <w:pPr>
        <w:spacing w:after="160"/>
      </w:pPr>
      <w:r>
        <w:rPr>
          <w:i/>
          <w:iCs/>
          <w:color w:val="5A6880"/>
          <w:sz w:val="21"/>
          <w:szCs w:val="21"/>
        </w:rPr>
        <w:t xml:space="preserve">Every upstream decision — a price change, a markdown, a transfer — lands here as an LLM-drafted, human-approved message and a store checklist with overdue escalation. Same alert pattern the client already knows from the labor module.</w:t>
      </w:r>
    </w:p>
    <w:p>
      <w:pPr>
        <w:pStyle w:val="Heading2"/>
        <w:spacing w:after="60" w:before="220"/>
      </w:pPr>
      <w:r>
        <w:rPr>
          <w:color w:val="2E5BFF"/>
        </w:rPr>
        <w:t xml:space="preserve">Task status KPIs</w:t>
      </w:r>
    </w:p>
    <w:p>
      <w:pPr>
        <w:spacing w:after="80"/>
        <w:ind w:left="200"/>
      </w:pPr>
      <w:r>
        <w:rPr>
          <w:b/>
          <w:bCs/>
          <w:color w:val="1F2A44"/>
          <w:sz w:val="20"/>
          <w:szCs w:val="20"/>
        </w:rPr>
        <w:t xml:space="preserve">Purpose —  </w:t>
      </w:r>
      <w:r>
        <w:rPr>
          <w:sz w:val="20"/>
          <w:szCs w:val="20"/>
        </w:rPr>
        <w:t xml:space="preserve">Store tasks by status at a glance; Overdue is highlighted because overdue tasks escalate to the district manager.</w:t>
      </w:r>
    </w:p>
    <w:p>
      <w:pPr>
        <w:spacing w:after="80"/>
        <w:ind w:left="200"/>
      </w:pPr>
      <w:r>
        <w:rPr>
          <w:b/>
          <w:bCs/>
          <w:color w:val="1F2A44"/>
          <w:sz w:val="20"/>
          <w:szCs w:val="20"/>
        </w:rPr>
        <w:t xml:space="preserve">Logic —  </w:t>
      </w:r>
      <w:r>
        <w:rPr>
          <w:sz w:val="20"/>
          <w:szCs w:val="20"/>
        </w:rPr>
        <w:t xml:space="preserve">Count of store tasks grouped by status.</w:t>
      </w:r>
    </w:p>
    <w:p>
      <w:pPr>
        <w:spacing w:after="80"/>
        <w:ind w:left="200"/>
      </w:pPr>
      <w:r>
        <w:rPr>
          <w:b/>
          <w:bCs/>
          <w:color w:val="1F2A44"/>
          <w:sz w:val="20"/>
          <w:szCs w:val="20"/>
        </w:rPr>
        <w:t xml:space="preserve">Data —  </w:t>
      </w:r>
      <w:r>
        <w:rPr>
          <w:sz w:val="20"/>
          <w:szCs w:val="20"/>
        </w:rPr>
        <w:t xml:space="preserve">task_board_v — store_tasks joined to dim_store.</w:t>
      </w:r>
    </w:p>
    <w:p>
      <w:pPr>
        <w:pStyle w:val="Heading2"/>
        <w:spacing w:after="60" w:before="220"/>
      </w:pPr>
      <w:r>
        <w:rPr>
          <w:color w:val="2E5BFF"/>
        </w:rPr>
        <w:t xml:space="preserve">Open task board (table)</w:t>
      </w:r>
    </w:p>
    <w:p>
      <w:pPr>
        <w:spacing w:after="80"/>
        <w:ind w:left="200"/>
      </w:pPr>
      <w:r>
        <w:rPr>
          <w:b/>
          <w:bCs/>
          <w:color w:val="1F2A44"/>
          <w:sz w:val="20"/>
          <w:szCs w:val="20"/>
        </w:rPr>
        <w:t xml:space="preserve">Purpose —  </w:t>
      </w:r>
      <w:r>
        <w:rPr>
          <w:sz w:val="20"/>
          <w:szCs w:val="20"/>
        </w:rPr>
        <w:t xml:space="preserve">The live task list, overdue first: which store, what kind of task (retag, endcap, label print, transfer), and when it was due. Tasks are born automatically from events in Modules 7 and 8 — nobody typed them in.</w:t>
      </w:r>
    </w:p>
    <w:p>
      <w:pPr>
        <w:spacing w:after="80"/>
        <w:ind w:left="200"/>
      </w:pPr>
      <w:r>
        <w:rPr>
          <w:b/>
          <w:bCs/>
          <w:color w:val="1F2A44"/>
          <w:sz w:val="20"/>
          <w:szCs w:val="20"/>
        </w:rPr>
        <w:t xml:space="preserve">Logic —  </w:t>
      </w:r>
      <w:r>
        <w:rPr>
          <w:sz w:val="20"/>
          <w:szCs w:val="20"/>
        </w:rPr>
        <w:t xml:space="preserve">Open (not-Done) tasks sorted overdue-first, then by due date.</w:t>
      </w:r>
    </w:p>
    <w:p>
      <w:pPr>
        <w:spacing w:after="80"/>
        <w:ind w:left="200"/>
      </w:pPr>
      <w:r>
        <w:rPr>
          <w:b/>
          <w:bCs/>
          <w:color w:val="1F2A44"/>
          <w:sz w:val="20"/>
          <w:szCs w:val="20"/>
        </w:rPr>
        <w:t xml:space="preserve">Data —  </w:t>
      </w:r>
      <w:r>
        <w:rPr>
          <w:sz w:val="20"/>
          <w:szCs w:val="20"/>
        </w:rPr>
        <w:t xml:space="preserve">task_board_v; the linkage back to the originating event is the related_event column on store_tasks.</w:t>
      </w:r>
    </w:p>
    <w:p>
      <w:r>
        <w:br w:type="page"/>
      </w:r>
    </w:p>
    <w:p>
      <w:pPr>
        <w:pStyle w:val="Heading1"/>
        <w:spacing w:after="120" w:before="300"/>
      </w:pPr>
      <w:r>
        <w:rPr>
          <w:color w:val="1F2A44"/>
        </w:rPr>
        <w:t xml:space="preserve">Module 10 — Admin &amp; Data Health</w:t>
      </w:r>
    </w:p>
    <w:p>
      <w:pPr>
        <w:spacing w:after="160"/>
      </w:pPr>
      <w:r>
        <w:rPr>
          <w:i/>
          <w:iCs/>
          <w:color w:val="5A6880"/>
          <w:sz w:val="21"/>
          <w:szCs w:val="21"/>
        </w:rPr>
        <w:t xml:space="preserve">The housekeeping made visible: which tables feed automatically, which are manually maintained, how fresh each one is, and who owns it. This is the honest slide — sustainable analytics means knowing where the manual effort lives.</w:t>
      </w:r>
    </w:p>
    <w:p>
      <w:pPr>
        <w:pStyle w:val="Heading2"/>
        <w:spacing w:after="60" w:before="220"/>
      </w:pPr>
      <w:r>
        <w:rPr>
          <w:color w:val="2E5BFF"/>
        </w:rPr>
        <w:t xml:space="preserve">Table registry &amp; feed freshness (table)</w:t>
      </w:r>
    </w:p>
    <w:p>
      <w:pPr>
        <w:spacing w:after="80"/>
        <w:ind w:left="200"/>
      </w:pPr>
      <w:r>
        <w:rPr>
          <w:b/>
          <w:bCs/>
          <w:color w:val="1F2A44"/>
          <w:sz w:val="20"/>
          <w:szCs w:val="20"/>
        </w:rPr>
        <w:t xml:space="preserve">Purpose —  </w:t>
      </w:r>
      <w:r>
        <w:rPr>
          <w:sz w:val="20"/>
          <w:szCs w:val="20"/>
        </w:rPr>
        <w:t xml:space="preserve">Every table in the schema with its source, cadence, owner, and last load. Orange rows are manually managed or seeded — the work stream to shrink over time. Point to item_crossref here: its completeness is what the ATS match rate in Module 4 depends on.</w:t>
      </w:r>
    </w:p>
    <w:p>
      <w:pPr>
        <w:spacing w:after="80"/>
        <w:ind w:left="200"/>
      </w:pPr>
      <w:r>
        <w:rPr>
          <w:b/>
          <w:bCs/>
          <w:color w:val="1F2A44"/>
          <w:sz w:val="20"/>
          <w:szCs w:val="20"/>
        </w:rPr>
        <w:t xml:space="preserve">Logic —  </w:t>
      </w:r>
      <w:r>
        <w:rPr>
          <w:sz w:val="20"/>
          <w:szCs w:val="20"/>
        </w:rPr>
        <w:t xml:space="preserve">Direct read of the registry; manual rows sort to the top deliberately.</w:t>
      </w:r>
    </w:p>
    <w:p>
      <w:pPr>
        <w:spacing w:after="80"/>
        <w:ind w:left="200"/>
      </w:pPr>
      <w:r>
        <w:rPr>
          <w:b/>
          <w:bCs/>
          <w:color w:val="1F2A44"/>
          <w:sz w:val="20"/>
          <w:szCs w:val="20"/>
        </w:rPr>
        <w:t xml:space="preserve">Data —  </w:t>
      </w:r>
      <w:r>
        <w:rPr>
          <w:sz w:val="20"/>
          <w:szCs w:val="20"/>
        </w:rPr>
        <w:t xml:space="preserve">data_health (registry table).</w:t>
      </w:r>
    </w:p>
    <w:p>
      <w:r>
        <w:br w:type="page"/>
      </w:r>
    </w:p>
    <w:p>
      <w:pPr>
        <w:pStyle w:val="Heading1"/>
        <w:spacing w:after="120" w:before="300"/>
      </w:pPr>
      <w:r>
        <w:rPr>
          <w:color w:val="1F2A44"/>
        </w:rPr>
        <w:t xml:space="preserve">Common questions &amp; one-line answers</w:t>
      </w:r>
    </w:p>
    <w:p>
      <w:pPr>
        <w:pStyle w:val="ListParagraph"/>
        <w:numPr>
          <w:ilvl w:val="0"/>
          <w:numId w:val="2"/>
        </w:numPr>
        <w:spacing w:after="60"/>
      </w:pPr>
      <w:r>
        <w:rPr>
          <w:sz w:val="20"/>
          <w:szCs w:val="20"/>
        </w:rPr>
        <w:t xml:space="preserve">"Is this our data?" — No; generated demo data anchored to 2026-07-14, shaped to realistic patterns (38 stores, replenishment-heavy mix, weather-driven demand). The pipes are real; the numbers are not.</w:t>
      </w:r>
    </w:p>
    <w:p>
      <w:pPr>
        <w:pStyle w:val="ListParagraph"/>
        <w:numPr>
          <w:ilvl w:val="0"/>
          <w:numId w:val="2"/>
        </w:numPr>
        <w:spacing w:after="60"/>
      </w:pPr>
      <w:r>
        <w:rPr>
          <w:sz w:val="20"/>
          <w:szCs w:val="20"/>
        </w:rPr>
        <w:t xml:space="preserve">"Where do these numbers come from?" — Every visual reads a named Databricks view; the views are exported in the repo (sql/20_views.sql) and any number on screen is reproducible with a SELECT.</w:t>
      </w:r>
    </w:p>
    <w:p>
      <w:pPr>
        <w:pStyle w:val="ListParagraph"/>
        <w:numPr>
          <w:ilvl w:val="0"/>
          <w:numId w:val="2"/>
        </w:numPr>
        <w:spacing w:after="60"/>
      </w:pPr>
      <w:r>
        <w:rPr>
          <w:sz w:val="20"/>
          <w:szCs w:val="20"/>
        </w:rPr>
        <w:t xml:space="preserve">"Can the app change our data?" — No. The backend enforces single-statement, SELECT-only queries against a whitelist of 27 objects, and the app's service principal has read-only grants — write access doesn't exist at any layer.</w:t>
      </w:r>
    </w:p>
    <w:p>
      <w:pPr>
        <w:pStyle w:val="ListParagraph"/>
        <w:numPr>
          <w:ilvl w:val="0"/>
          <w:numId w:val="2"/>
        </w:numPr>
        <w:spacing w:after="60"/>
      </w:pPr>
      <w:r>
        <w:rPr>
          <w:sz w:val="20"/>
          <w:szCs w:val="20"/>
        </w:rPr>
        <w:t xml:space="preserve">"What's AI vs. math?" — The scoring, matching, and forecast math is deterministic SQL. AI appears where judgment is drafted for a human: exception resolutions, deal recommendations, experiment summaries, and store comms — always approve-before-send.</w:t>
      </w:r>
    </w:p>
    <w:p>
      <w:pPr>
        <w:pStyle w:val="ListParagraph"/>
        <w:numPr>
          <w:ilvl w:val="0"/>
          <w:numId w:val="2"/>
        </w:numPr>
        <w:spacing w:after="60"/>
      </w:pPr>
      <w:r>
        <w:rPr>
          <w:sz w:val="20"/>
          <w:szCs w:val="20"/>
        </w:rPr>
        <w:t xml:space="preserve">"What would production change?" — Swap the demo anchor date for current_date(), point at the client's catalog, replace generated tables with real feeds (the Data Health registry is the punch list), and harden the free-SQL endpoint into named APIs.</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D6EC" w:sz="6" w:space="4"/>
      </w:pBdr>
      <w:spacing w:after="120" w:before="300"/>
    </w:pPr>
    <w:rPr>
      <w:rFonts w:ascii="Calibri" w:cs="Calibri" w:eastAsia="Calibri" w:hAnsi="Calibri"/>
      <w:b/>
      <w:bCs/>
      <w:color w:val="1F2A44"/>
      <w:sz w:val="30"/>
      <w:szCs w:val="30"/>
    </w:rPr>
  </w:style>
  <w:style w:type="paragraph" w:styleId="Heading2">
    <w:name w:val="Heading 2"/>
    <w:basedOn w:val="Normal"/>
    <w:next w:val="Normal"/>
    <w:qFormat/>
    <w:pPr>
      <w:spacing w:after="60" w:before="220"/>
    </w:pPr>
    <w:rPr>
      <w:rFonts w:ascii="Calibri" w:cs="Calibri" w:eastAsia="Calibri" w:hAnsi="Calibri"/>
      <w:b/>
      <w:bCs/>
      <w:color w:val="2E5BF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2026-07-16T14:56:18.333Z</dcterms:created>
  <dcterms:modified xsi:type="dcterms:W3CDTF">2026-07-16T14:56:18.334Z</dcterms:modified>
</cp:coreProperties>
</file>

<file path=docProps/custom.xml><?xml version="1.0" encoding="utf-8"?>
<Properties xmlns="http://schemas.openxmlformats.org/officeDocument/2006/custom-properties" xmlns:vt="http://schemas.openxmlformats.org/officeDocument/2006/docPropsVTypes"/>
</file>