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F2A44"/>
          <w:sz w:val="36"/>
          <w:szCs w:val="36"/>
        </w:rPr>
        <w:t xml:space="preserve">{solutionset}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F2A44"/>
          <w:sz w:val="40"/>
          <w:szCs w:val="40"/>
        </w:rPr>
        <w:t xml:space="preserve">WORKWORLD - MERCHANDISE PLANNING &amp; OPERATIONS MODULE</w:t>
      </w:r>
    </w:p>
    <w:p>
      <w:pPr>
        <w:spacing w:after="60" w:before="0"/>
      </w:pPr>
      <w:r>
        <w:rPr>
          <w:rFonts w:ascii="Calibri" w:cs="Calibri" w:eastAsia="Calibri" w:hAnsi="Calibri"/>
          <w:color w:val="2E5BFF"/>
          <w:sz w:val="26"/>
          <w:szCs w:val="26"/>
        </w:rPr>
        <w:t xml:space="preserve">Project Plan &amp; Application Framing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Internal working document - companion to proposal for Alex Gart, Gart Companies (WorkWorld)</w:t>
      </w:r>
    </w:p>
    <w:p>
      <w:pPr>
        <w:spacing w:after="200" w:before="0"/>
      </w:pPr>
      <w:r>
        <w:rPr>
          <w:rFonts w:ascii="Calibri" w:cs="Calibri" w:eastAsia="Calibri" w:hAnsi="Calibri"/>
          <w:color w:val="666666"/>
          <w:sz w:val="19"/>
          <w:szCs w:val="19"/>
        </w:rPr>
        <w:t xml:space="preserve">Prepared: July 14, 2026  |  Basis: 7/14 merchandising deep-dive call (Fathom), workworld.com merchandise &amp; vendor research, NFP Forecast Module design standards</w:t>
      </w:r>
    </w:p>
    <w:p>
      <w:pPr>
        <w:spacing w:after="300" w:before="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Companion file: WorkWorld_SupplyChain_Support_Workbook.xlsx - full data dictionary, source inventory, and dummy data for every table referenced here.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1. Background &amp; Opportunity</w:t>
      </w:r>
    </w:p>
    <w:p>
      <w:pPr>
        <w:spacing w:after="1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WorkWorld is a workwear retailer operating 38 physical storefronts (Work World and Whistle Workwear banners, plus the Shoeteria legacy), one small warehouse, and a few mobile truck stores across California, Nevada, and Washington. The business is 100% direct-ship-to-store, runs roughly 80% replenishment / 20% seasonal, and manages assortments and size curves at the store level on a min/max model. The vendor base spans billion-dollar suppliers (Carhartt at ~20% of revenue, Wolverine's house of brands, VF's Timberland PRO and Dickies) down to mom-and-pop vendors; the top ~15 brands drive about 80% of revenue. EDI runs through SPS Commerce and is acknowledged to be under-leveraged.</w:t>
      </w:r>
    </w:p>
    <w:p>
      <w:pPr>
        <w:spacing w:after="1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Alex framed two work streams. Planning: no demand-planning tool drives the min/max process today; reorder points get a wholesale review roughly twice a year; size curves live in the merch team's Excel. Merchandise operations: the direct-to-store model produces an astronomical volume of mini-POs, receiving adjustments, changes, closes and cancels; 3-way matching is the single longest, most people-intensive step of the monthly close and the company is likely overpaying vendors; vendor price updates must be keyed into the ERP and communicated to stores for retagging; and markdowns are managed by hand.</w:t>
      </w:r>
    </w:p>
    <w:p>
      <w:pPr>
        <w:spacing w:after="1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Stated goals: reduce stockouts, improve inventory turns (without over-squeezing - see the guardrail in Section 6), improve gross margin by reducing markdowns and capturing vendor deal opportunities, and compress the reconciliation workload.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2. Solution Overview</w:t>
      </w:r>
    </w:p>
    <w:p>
      <w:pPr>
        <w:spacing w:after="1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web-based Merchandise Planning &amp; Operations application, developed and hosted by SolutionSet as a managed service (Databricks App over a client lakehouse), independent of - but feeding - the BI layer. The application is organized into the ten functional modules in Section 4, sharing one data foundation (Section 5). Delivery is phased (Section 8) so value lands early: the data foundation and 3-way reconciliation first (the lowest-hanging fruit identified on the call), then replenishment intelligence, then pricing/markdown/communications, then the optimization and AI-insight layer.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2.1 Design standards (from the NFP Forecast &amp; Budget Module)</w:t>
      </w:r>
    </w:p>
    <w:p>
      <w:pPr>
        <w:spacing w:after="1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new forecast module sets the design language this application will follow: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Guided, numbered workflow navigation across the top (Step 1 of N), one focused screen per step - here organized by module rather than a single linear flow, with the same stepper treatment inside each workflow (e.g., a buy-review flow: Review breaks -&gt; Consolidate -&gt; Tier check -&gt; Approve -&gt; Transmit).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SolutionSet-branded top bar carrying client, module, fiscal period, scenario/run tag, and build version (e.g., WW-2026-REPLEN-BASE, BUILD v1-xxxx).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Card-based layout on the light grid background; white cards with a one-line plain-language explanation under each card title; corner-bracket focus treatment on the primary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Monospace code tags for run/scenario identifiers, key-value summary cards for run state (RUN / PERIOD / METHODOLOGY / STATUS), and inline inputs with explicit placeholder examples.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Scenario/run discipline: runs are methodology-stamped and lockable, mirroring the forecast module's Lock-In step - replenishment parameter changes and markdown policies get the same versioned, auditable treatment.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3. User Groups</w:t>
      </w:r>
    </w:p>
    <w:tbl>
      <w:tblPr>
        <w:tblW w:type="dxa" w:w="9880"/>
        <w:tblBorders>
          <w:top w:val="single" w:color="C9D3E8" w:sz="4"/>
          <w:left w:val="single" w:color="C9D3E8" w:sz="4"/>
          <w:bottom w:val="single" w:color="C9D3E8" w:sz="4"/>
          <w:right w:val="single" w:color="C9D3E8" w:sz="4"/>
          <w:insideH w:val="single" w:color="C9D3E8" w:sz="4"/>
          <w:insideV w:val="single" w:color="C9D3E8" w:sz="4"/>
        </w:tblBorders>
      </w:tblPr>
      <w:tblGrid>
        <w:gridCol w:w="2174"/>
        <w:gridCol w:w="2964"/>
        <w:gridCol w:w="4742"/>
      </w:tblGrid>
      <w:tr>
        <w:trPr>
          <w:tblHeader/>
        </w:trPr>
        <w:tc>
          <w:tcPr>
            <w:tcW w:type="dxa" w:w="2174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User group</w:t>
            </w:r>
          </w:p>
        </w:tc>
        <w:tc>
          <w:tcPr>
            <w:tcW w:type="dxa" w:w="2964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modules</w:t>
            </w:r>
          </w:p>
        </w:tc>
        <w:tc>
          <w:tcPr>
            <w:tcW w:type="dxa" w:w="4742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they do in the app</w:t>
            </w:r>
          </w:p>
        </w:tc>
      </w:tr>
      <w:tr>
        <w:tc>
          <w:tcPr>
            <w:tcW w:type="dxa" w:w="21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Owner / executive (Alex)</w:t>
            </w:r>
          </w:p>
        </w:tc>
        <w:tc>
          <w:tcPr>
            <w:tcW w:type="dxa" w:w="2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Analytics &amp; Experiments</w:t>
            </w:r>
          </w:p>
        </w:tc>
        <w:tc>
          <w:tcPr>
            <w:tcW w:type="dxa" w:w="47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Value-driver dashboards, test read-outs, deal pipeline visibility</w:t>
            </w:r>
          </w:p>
        </w:tc>
      </w:tr>
      <w:tr>
        <w:tc>
          <w:tcPr>
            <w:tcW w:type="dxa" w:w="21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Merch director / planner</w:t>
            </w:r>
          </w:p>
        </w:tc>
        <w:tc>
          <w:tcPr>
            <w:tcW w:type="dxa" w:w="2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Demand Planning, Markdown Mgmt, Vendor Programs</w:t>
            </w:r>
          </w:p>
        </w:tc>
        <w:tc>
          <w:tcPr>
            <w:tcW w:type="dxa" w:w="47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Curves, seasonal plans, markdown policy, opportunity-buy decisions</w:t>
            </w:r>
          </w:p>
        </w:tc>
      </w:tr>
      <w:tr>
        <w:tc>
          <w:tcPr>
            <w:tcW w:type="dxa" w:w="21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Buyer / replenishment analyst</w:t>
            </w:r>
          </w:p>
        </w:tc>
        <w:tc>
          <w:tcPr>
            <w:tcW w:type="dxa" w:w="2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Purchase Planning, Vendor Availability, Vendor Programs</w:t>
            </w:r>
          </w:p>
        </w:tc>
        <w:tc>
          <w:tcPr>
            <w:tcW w:type="dxa" w:w="47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ROP review queues, break alerts, PO consolidation to tier breaks, ATS-aware ordering</w:t>
            </w:r>
          </w:p>
        </w:tc>
      </w:tr>
      <w:tr>
        <w:tc>
          <w:tcPr>
            <w:tcW w:type="dxa" w:w="21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Merch ops / AP / controller</w:t>
            </w:r>
          </w:p>
        </w:tc>
        <w:tc>
          <w:tcPr>
            <w:tcW w:type="dxa" w:w="2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 Management &amp; 3-Way, Pricing</w:t>
            </w:r>
          </w:p>
        </w:tc>
        <w:tc>
          <w:tcPr>
            <w:tcW w:type="dxa" w:w="47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Exception queue, debit memos, price file staging, close support</w:t>
            </w:r>
          </w:p>
        </w:tc>
      </w:tr>
      <w:tr>
        <w:tc>
          <w:tcPr>
            <w:tcW w:type="dxa" w:w="21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Store ops / district managers</w:t>
            </w:r>
          </w:p>
        </w:tc>
        <w:tc>
          <w:tcPr>
            <w:tcW w:type="dxa" w:w="2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Team Communications &amp; Store Tasks</w:t>
            </w:r>
          </w:p>
        </w:tc>
        <w:tc>
          <w:tcPr>
            <w:tcW w:type="dxa" w:w="47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Task checklists (retag, labels, receive checks, transfer picks), change digests</w:t>
            </w:r>
          </w:p>
        </w:tc>
      </w:tr>
      <w:tr>
        <w:tc>
          <w:tcPr>
            <w:tcW w:type="dxa" w:w="21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SolutionSet (managed service)</w:t>
            </w:r>
          </w:p>
        </w:tc>
        <w:tc>
          <w:tcPr>
            <w:tcW w:type="dxa" w:w="296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Admin &amp; Data Health</w:t>
            </w:r>
          </w:p>
        </w:tc>
        <w:tc>
          <w:tcPr>
            <w:tcW w:type="dxa" w:w="47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Feed SLAs, crossref completeness, model monitoring, releases</w:t>
            </w:r>
          </w:p>
        </w:tc>
      </w:tr>
    </w:tbl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4. Functional Modules (Interface / Project Description)</w:t>
      </w:r>
    </w:p>
    <w:p>
      <w:pPr>
        <w:spacing w:after="1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Industry-standard sections aligned to use cases and user groups. Each module lists its purpose and headline capabilities; the Module Map tab of the workbook carries the full mapping to tables and value drivers.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4.1 Demand Planning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Purpose: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Forecast unit demand at store x SKU x 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Seasonality curves by category, split evergreen vs. seasonal, generated from 3+ years of POS history (monthly indices shown in workbook; production runs weekly).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Weather-adjusted demand: rain-event surge modeling for boots and rainwear in NorCal/WA (the lunchtime-boot-replacement effect), cold-snap lift for insulated gear; historical weather for backtesting, 10-day forecast for anticipation.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Door-traffic and conversion as model features where counters exist; promo flags from the promo calendar.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Forecast accuracy tracking (MAPE by grain) so the model earns trust before it earns automation.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4.2 Purchase Planning &amp; Replenishment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Purpose: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Turn forecasts into orders under the min/max model - continuously, not twice a 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Continuous reorder-point recalibration with a review queue: system suggests, humans approve (System-suggested -&gt; System-auto as trust builds).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Size-curve-embedded planning at style/color/size: projected break dates per size, meat-size vs. fringe-size break policies, new-item ROP setup from curve templates.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Transfer-first logic: rebalance broken size runs between stores before buying new units (store-to-store transfers exist today; the app suggests and tracks them).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PO consolidation: roll store-level needs to a master PO to hit vendor tier breaks and prepaid-freight minimums.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Purchase lead times: quoted vs. actual (P50/P90) by vendor/category from PO-to-receipt history, with fill rates; MOQs modeled as tier-0 pricing.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4.3 Vendor Availability (ATS) &amp; Lead-Time Intelligence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Purpose: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Know what vendors can actually ship before ordering.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Tiered ATS acquisition plan - Tier A (Carhartt, Wolverine): EDI 846 via the existing SPS Commerce relationship; Tier B (VF brands, Ariat, KEEN, Rocky, Danner, Helly Hansen): scheduled portal downloads / RPA ('by hook or crook', per the call); Tier C (mom-and-pop): parsed email spreadsheets with human confirmation.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Partial coverage is still valuable: Carhartt alone covers ~20% of revenue on day one; bootstrap vendor by vendor.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Item cross-reference table (internal SKU &lt;-&gt; vendor SKU/UPC) as the matching backbone, sourced from EDI 832 catalogs where 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ATS-aware replenishment: suppress or re-route suggestions when vendor ATS is zero; surface next-available dates and substitute options (including open closeout offers).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4.4 Vendor Programs &amp; Opportunity Buys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Purpose: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Capture the margin that coordinated buying leaves on the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Tier pricing table (new build): volume breaks by vendor program; the engine watches aggregate replenishment demand and flags 'you are 40 units from the next break'.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Opportunity-buy pipeline: closeouts, SMUs, preseason books, tier-break coordination - logged, AI-scored for margin uplift vs. weeks-of-supply and broken-run risk, with accept/decline audit trail.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The Ace Hardware pattern from the call: vendor-funded volume deals coordinated with a marketing/allocation plan, evaluated against the same demand math as ordinary replenishment.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4.5 PO Management &amp; 3-Way Reconciliation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Purpose: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direct-to-store document model, reconciled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Direct-to-store complexity modeled explicitly: master PO -&gt; per-store mini-POs (ship-to per store) -&gt; store-level electronic receivers -&gt; vendor invoices grouped under master statements. All three legs already exist electronically.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Full PO lifecycle: changes, short-ship updates ('we should have updated the PO to receive against it'), backorders, closes, cancels, with EDI 850/855/856 states.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Automated line-level 3-way match: auto-clear clean lines; route exceptions with root-cause codes (QtyShort, PriceVariance, FreightUnexpected, MissingReceiver) and AI-suggested resolutions (debit memo drafts, damage claims, hold-pay recommendations).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Target outcomes: recover overpayments, cut the longest step of the monthly close, and redeploy - not eliminate - the FTEs (accountability stays human, per Alex).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4.6 Pricing &amp; Promotion Management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Purpose: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Vendor price updates in; clean retail prices 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Ingest price files by vendor tier (EDI 832, portal files, emailed sheets); diff against current costs/retails; stage ERP updates with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Margin impact preview per increase (and pre-buy option analysis when an increase is announced - buy at the old cost inside supply guardrails).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Promo calendar with start/end orchestration and POS/label coordination.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4.7 Markdown Management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Purpose: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Fewer, later, smarter markdowns.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Policy-driven ladders by category/lifecycle (trigger on sell-through vs. season week), with margin floors.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A/B-tested policy changes - e.g., 'wait four weeks before going to 20%' - run as controlled store experiments with AI read-outs.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Label-file generation per store per event (stores print locally today; the app builds the file and the checklist).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4.8 Team Communications &amp; Store Tasks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Purpose: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change-management layer that makes everything execute.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LLM-drafted, human-approved communications: 'these vendors raised prices; here is what changes in your store' - to store ops, buyers, or vendors.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Store task engine: retag lists, markdown label prints, receive checks, transfer picks, price acknowledgments - scheduled, check-off tracked, overdue-escalated (the labor-module alert pattern: off-plan conditions alert the responsible manager immediately, not three weeks after close).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Digest views per store and per district manager.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4.9 Analytics &amp; Experiments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Purpose: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Value-driver dashboards plus a proper test bench.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Stockout management: in-stock % (meat sizes weighted), stockout events with estimated lost sales and root causes.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Inventory turns with the diminishing-returns guardrail: turns vs. in-stock frontier, not turns as a single-number target.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Markdown/discount management: markdown $ vs. plan, sell-through curves, policy-experiment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3-way matching: variance $ identified/recovered, auto-clear rate, close-cycle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Experiment engine: A/B tests across the 38-store network (one store proves the math; the rest inherit it), with AI summarizing many small tests into recommendations - the 'X-ray' Alex described.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4.10 Admin &amp; Data Health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Purpose: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Housekeeping made visible.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Manual-table stewardship: lead times, tier pricing, size curves, tags, opportunity entries - each with owners and review 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Feed freshness SLAs (POS, EDI, weather, traffic), ATS crossref match rates, model-version tracking.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Later-phase runway: assortment planning ('are you buying the right things') and floor placement/planogram exploration, explicitly out of initial scope.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5. Data Architecture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5.1 Table inventory</w:t>
      </w:r>
    </w:p>
    <w:p>
      <w:pPr>
        <w:spacing w:after="1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 full dictionary (every field, type, key, source, manual flag) and dummy data built from WorkWorld's actual brands and geography live in the support workbook. Summary:</w:t>
      </w:r>
    </w:p>
    <w:tbl>
      <w:tblPr>
        <w:tblW w:type="dxa" w:w="9880"/>
        <w:tblBorders>
          <w:top w:val="single" w:color="C9D3E8" w:sz="4"/>
          <w:left w:val="single" w:color="C9D3E8" w:sz="4"/>
          <w:bottom w:val="single" w:color="C9D3E8" w:sz="4"/>
          <w:right w:val="single" w:color="C9D3E8" w:sz="4"/>
          <w:insideH w:val="single" w:color="C9D3E8" w:sz="4"/>
          <w:insideV w:val="single" w:color="C9D3E8" w:sz="4"/>
        </w:tblBorders>
      </w:tblPr>
      <w:tblGrid>
        <w:gridCol w:w="1778"/>
        <w:gridCol w:w="4940"/>
        <w:gridCol w:w="3162"/>
      </w:tblGrid>
      <w:tr>
        <w:trPr>
          <w:tblHeader/>
        </w:trPr>
        <w:tc>
          <w:tcPr>
            <w:tcW w:type="dxa" w:w="1778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Group</w:t>
            </w:r>
          </w:p>
        </w:tc>
        <w:tc>
          <w:tcPr>
            <w:tcW w:type="dxa" w:w="494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Tables</w:t>
            </w:r>
          </w:p>
        </w:tc>
        <w:tc>
          <w:tcPr>
            <w:tcW w:type="dxa" w:w="3162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Highlights</w:t>
            </w:r>
          </w:p>
        </w:tc>
      </w:tr>
      <w:tr>
        <w:tc>
          <w:tcPr>
            <w:tcW w:type="dxa" w:w="1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Reference / dimensions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dim_store, dim_vendor, vendor_terms, vendor_lead_times*, vendor_tier_pricing*, vendor_promo_opportunities*, dim_category, dim_style, dim_sku, item_crossref*, size_curves*, seasonality_curves, product_tags*, store_sku_params, price_master, markdown_policy*</w:t>
            </w:r>
          </w:p>
        </w:tc>
        <w:tc>
          <w:tcPr>
            <w:tcW w:type="dxa" w:w="31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Style -&gt; color -&gt; size grain; curves and tags carried as first-class planning attributes</w:t>
            </w:r>
          </w:p>
        </w:tc>
      </w:tr>
      <w:tr>
        <w:tc>
          <w:tcPr>
            <w:tcW w:type="dxa" w:w="1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fact_sales_daily, fact_inventory_daily, po_header, po_line, receiver_header, receiver_line, invoice_header, invoice_line, transfer_orders, price_change_events, store_tasks, comms_log</w:t>
            </w:r>
          </w:p>
        </w:tc>
        <w:tc>
          <w:tcPr>
            <w:tcW w:type="dxa" w:w="31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Direct-to-store PO/receiver/invoice model incl. master statements</w:t>
            </w:r>
          </w:p>
        </w:tc>
      </w:tr>
      <w:tr>
        <w:tc>
          <w:tcPr>
            <w:tcW w:type="dxa" w:w="1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External signals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vendor_ats, weather_daily, store_traffic_daily</w:t>
            </w:r>
          </w:p>
        </w:tc>
        <w:tc>
          <w:tcPr>
            <w:tcW w:type="dxa" w:w="31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Tiered ATS capture; rain-event flags; door counts</w:t>
            </w:r>
          </w:p>
        </w:tc>
      </w:tr>
      <w:tr>
        <w:tc>
          <w:tcPr>
            <w:tcW w:type="dxa" w:w="17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Analytics / computed</w:t>
            </w:r>
          </w:p>
        </w:tc>
        <w:tc>
          <w:tcPr>
            <w:tcW w:type="dxa" w:w="4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demand_forecast, replen_suggestions, stockout_events, threeway_match, experiments</w:t>
            </w:r>
          </w:p>
        </w:tc>
        <w:tc>
          <w:tcPr>
            <w:tcW w:type="dxa" w:w="31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Gold-layer outputs the app consumes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i/>
          <w:iCs/>
          <w:color w:val="C55A11"/>
          <w:sz w:val="19"/>
          <w:szCs w:val="19"/>
        </w:rPr>
        <w:t xml:space="preserve">* Manually managed or manually seeded (orange tabs in the workbook). Per the call, lead times, tier pricing, and MOQs largely do not exist today; size curves live in Excel. This is the housekeeping work stream - easy to audit or rebuild from scratch, but a real step in the plan.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5.2 Data sources</w:t>
      </w:r>
    </w:p>
    <w:tbl>
      <w:tblPr>
        <w:tblW w:type="dxa" w:w="9880"/>
        <w:tblBorders>
          <w:top w:val="single" w:color="C9D3E8" w:sz="4"/>
          <w:left w:val="single" w:color="C9D3E8" w:sz="4"/>
          <w:bottom w:val="single" w:color="C9D3E8" w:sz="4"/>
          <w:right w:val="single" w:color="C9D3E8" w:sz="4"/>
          <w:insideH w:val="single" w:color="C9D3E8" w:sz="4"/>
          <w:insideV w:val="single" w:color="C9D3E8" w:sz="4"/>
        </w:tblBorders>
      </w:tblPr>
      <w:tblGrid>
        <w:gridCol w:w="4150"/>
        <w:gridCol w:w="4545"/>
        <w:gridCol w:w="1186"/>
      </w:tblGrid>
      <w:tr>
        <w:trPr>
          <w:tblHeader/>
        </w:trPr>
        <w:tc>
          <w:tcPr>
            <w:tcW w:type="dxa" w:w="415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545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 / cadence</w:t>
            </w:r>
          </w:p>
        </w:tc>
        <w:tc>
          <w:tcPr>
            <w:tcW w:type="dxa" w:w="1186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Manual?</w:t>
            </w:r>
          </w:p>
        </w:tc>
      </w:tr>
      <w:tr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Retail ERP / POS (system name TBD in discovery)</w:t>
            </w:r>
          </w:p>
        </w:tc>
        <w:tc>
          <w:tcPr>
            <w:tcW w:type="dxa" w:w="4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Nightly extracts: sales, inventory, item, PO, receiving, terms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SPS Commerce EDI (already licensed)</w:t>
            </w:r>
          </w:p>
        </w:tc>
        <w:tc>
          <w:tcPr>
            <w:tcW w:type="dxa" w:w="4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850/855/856/810/846/832 - near-real-time; the first well to tap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Vendor portals (Tier B)</w:t>
            </w:r>
          </w:p>
        </w:tc>
        <w:tc>
          <w:tcPr>
            <w:tcW w:type="dxa" w:w="4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Scheduled download / RPA - weekly ATS and price files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Partly</w:t>
            </w:r>
          </w:p>
        </w:tc>
      </w:tr>
      <w:tr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Vendor email/spreadsheets (Tier C mom-and-pop)</w:t>
            </w:r>
          </w:p>
        </w:tc>
        <w:tc>
          <w:tcPr>
            <w:tcW w:type="dxa" w:w="4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Parsed attachments with human confirm - ad hoc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Merch team Excel (size curves, min/max seeds)</w:t>
            </w:r>
          </w:p>
        </w:tc>
        <w:tc>
          <w:tcPr>
            <w:tcW w:type="dxa" w:w="4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One-time migration, then app-managed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App manual entry (tier pricing, lead-time seeds, tags, deals, markdown policy)</w:t>
            </w:r>
          </w:p>
        </w:tc>
        <w:tc>
          <w:tcPr>
            <w:tcW w:type="dxa" w:w="4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UI forms with review dates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NOAA/NWS weather API</w:t>
            </w:r>
          </w:p>
        </w:tc>
        <w:tc>
          <w:tcPr>
            <w:tcW w:type="dxa" w:w="4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Daily history + 10-day forecast by climate zone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Door traffic counters</w:t>
            </w:r>
          </w:p>
        </w:tc>
        <w:tc>
          <w:tcPr>
            <w:tcW w:type="dxa" w:w="454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Daily counts (coverage to confirm)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5.3 The direct-to-store document model</w:t>
      </w:r>
    </w:p>
    <w:p>
      <w:pPr>
        <w:spacing w:after="1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Because nothing routes through a big DC, one vendor buy explodes into dozens of documents. The model keeps every leg linked: a master PO per vendor buy; child mini-POs per ship-to store; store-level electronic receivers against each mini-PO (with ASN matching where the vendor sends 856s); vendor invoices per shipment grouped under a master statement. The 3-way match runs at the line level across mini-PO x receiver x invoice, so short-ships, price variances, unexpected freight, and missing receivers are attributed to a specific store, document, and root cause - and the master-statement roll-up reconciles to the penny before payment.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5.4 Apparel &amp; footwear specifics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Style/color/size detail everywhere it matters: SKUs are style x color x size; boots carry half sizes and widths; pants carry waist x inseam.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Size curves: participation curves by category/size range (migrated from Excel, then recalibrated from unconstrained demand), with meat-size flags. Replenishment monitors when a run 'gets out of weight' - fringe-size breaks and meat-size breaks trigger different plays.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Size rebalancing at replenishment: transfer-first suggestions consolidate broken runs (e.g., smalls here, XLs there) before new buys; truck stores restock the same 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Seasonality curves by category, evergreen vs. seasonal, with weekly production granularity.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Purchase lead times and min/max: quoted vs. actual lead-time intelligence feeds how far to lead the receiver; min/max/ROP/safety stock per store x SKU with continuous review.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5.5 Product category / tag tables (capturing purchase-decision context)</w:t>
      </w:r>
    </w:p>
    <w:p>
      <w:pPr>
        <w:spacing w:after="1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 open tag system attaches measured context to styles and categories: WeatherResponse tags carry effect sizes (e.g., rainwear sells 3-4x on rain days; waterproof boots ~1.8x), Trade tags (construction, healthcare/scrubs, agriculture), Compliance tags (ASTM safety toe, ANSI hi-vis, FR), and Program tags. Tags start manual, get AI-suggested from history (the model finds the rain lift; a human confirms it), and graduate to 'Validated' once measured. Weather impact is therefore captured at both levels you asked about: category defaults on dim_category and style-level overrides in product_tags - and the demand model consumes whichever is strongest.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5.6 Plan for accessing vendor Available-to-Sell (ATS)</w:t>
      </w:r>
    </w:p>
    <w:tbl>
      <w:tblPr>
        <w:tblW w:type="dxa" w:w="9880"/>
        <w:tblBorders>
          <w:top w:val="single" w:color="C9D3E8" w:sz="4"/>
          <w:left w:val="single" w:color="C9D3E8" w:sz="4"/>
          <w:bottom w:val="single" w:color="C9D3E8" w:sz="4"/>
          <w:right w:val="single" w:color="C9D3E8" w:sz="4"/>
          <w:insideH w:val="single" w:color="C9D3E8" w:sz="4"/>
          <w:insideV w:val="single" w:color="C9D3E8" w:sz="4"/>
        </w:tblBorders>
      </w:tblPr>
      <w:tblGrid>
        <w:gridCol w:w="1383"/>
        <w:gridCol w:w="3557"/>
        <w:gridCol w:w="3557"/>
        <w:gridCol w:w="1383"/>
      </w:tblGrid>
      <w:tr>
        <w:trPr>
          <w:tblHeader/>
        </w:trPr>
        <w:tc>
          <w:tcPr>
            <w:tcW w:type="dxa" w:w="1383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557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Vendors (examples)</w:t>
            </w:r>
          </w:p>
        </w:tc>
        <w:tc>
          <w:tcPr>
            <w:tcW w:type="dxa" w:w="3557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383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</w:tr>
      <w:tr>
        <w:tc>
          <w:tcPr>
            <w:tcW w:type="dxa" w:w="13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 - Full EDI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Carhartt, Wolverine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EDI 846 inventory advice via SPS Commerce (already paying for the pipe)</w:t>
            </w:r>
          </w:p>
        </w:tc>
        <w:tc>
          <w:tcPr>
            <w:tcW w:type="dxa" w:w="13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3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 - Portal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Timberland PRO, Dickies, Ariat, KEEN, Rocky/Georgia Boot, Danner, Helly Hansen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Scheduled portal downloads / credentialed RPA on WorkWorld's behalf</w:t>
            </w:r>
          </w:p>
        </w:tc>
        <w:tc>
          <w:tcPr>
            <w:tcW w:type="dxa" w:w="13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Phase 2, vendor by vendor</w:t>
            </w:r>
          </w:p>
        </w:tc>
      </w:tr>
      <w:tr>
        <w:tc>
          <w:tcPr>
            <w:tcW w:type="dxa" w:w="13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 - Manual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Ben Davis, mom-and-pop suppliers</w:t>
            </w:r>
          </w:p>
        </w:tc>
        <w:tc>
          <w:tcPr>
            <w:tcW w:type="dxa" w:w="3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Emailed sheets parsed on arrival, human-confirmed; no coverage is also acceptable</w:t>
            </w:r>
          </w:p>
        </w:tc>
        <w:tc>
          <w:tcPr>
            <w:tcW w:type="dxa" w:w="138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Opportunistic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Key principle from the call: this is not all-or-nothing. Getting Carhartt's 846 alone puts ATS behind ~20% of revenue; each additional vendor compounds the coverage.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6. Analysis on Key Value Drivers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6.1 Stockout management</w:t>
      </w:r>
    </w:p>
    <w:p>
      <w:pPr>
        <w:spacing w:after="1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Metrics: in-stock % weighted by size-curve participation (a missing L hurts more than a missing 3XL), stockout events with days-out, estimated lost units/sales from forecast burn rates, and root-cause mix (late vendor, ROP too low, short-ship, demand spike). Mechanisms: projected-stockout dates on every store x SKU, meat-size break alerts, ATS-aware expediting, and weather-anticipated surges. EXP-001 in the dummy data illustrates the analysis pattern: measure whether short meat-size breaks actually depress style-level sales (they did, in the illustration) rather than assuming.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6.2 Inventory turns</w:t>
      </w:r>
    </w:p>
    <w:p>
      <w:pPr>
        <w:spacing w:after="1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Turns improve as a byproduct of tighter ROPs, transfer-first rebalancing, and shorter effective lead times - but the dashboard presents turns against in-stock rate as a frontier, not a single target. The SanMar lesson from the call is codified as a guardrail: in workwear, a broken assortment sends the customer elsewhere permanently; finance-driven turn-squeezing past the diminishing-returns point is flagged, not celebrated.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6.3 Markdown / discount management</w:t>
      </w:r>
    </w:p>
    <w:p>
      <w:pPr>
        <w:spacing w:after="1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Metrics: markdown $ as % of sales by category/season, sell-through vs. season-week curves, margin preserved by policy experiments. Mechanisms: ladder policies with margin floors, delayed-ladder A/B tests (EXP-002 pattern), SMU/closeout buys evaluated against realistic sell-through so opportunity buys don't become next season's markdowns, and label/retag execution tracked to completion in stores.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6.4 Three-way matching</w:t>
      </w:r>
    </w:p>
    <w:p>
      <w:pPr>
        <w:spacing w:after="140" w:before="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Metrics: auto-clear rate, exception aging, variance $ identified and recovered (debit memos), close-cycle days for the reconciliation step, and FTE hours redeployed. Mechanisms: line-level matching across the direct-to-store document set, root-cause coding that pushes fixes upstream (short-ships should update the PO before receiving, per Alex), AI-drafted resolutions with human accountability retained. This is the lowest-hanging fruit and the anchor of Phase 1.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7. Network Best Practices - Learn and Apply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7.1 From SolutionSet's own module family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NFP Forecast &amp; Budget Module: the design standards in Section 2.1 - guided steppers, scenario runs with methodology stamps, lock-in discipline, card-based plain-language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Labor optimization module: condition-based alerting - when a store is off-plan beyond tolerance, the responsible manager is alerted immediately and must respond; applied here to overdue retags, unworked exceptions, and break risks.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Budgeting/forecast implementations for PE-backed multi-unit operators: disparate-system ingestion into one governed lakehouse, then automation on top - same medallion pattern (bronze landing, silver conformance, gold planning marts) as every SolutionSet 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Finance hub pattern: snapshot/true-up cadence and 'review copy' artifacts, applied to buy-review cycles and vendor statement reconciliation.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E5BFF"/>
          <w:sz w:val="24"/>
          <w:szCs w:val="24"/>
        </w:rPr>
        <w:t xml:space="preserve">7.2 From the industry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Ace Hardware-style vendor promotions: commit-volume deals coordinated with marketing/allocation as a first-class margin lever (Vendor Programs module).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Walmart-style weather-triggered merchandising, scaled to WorkWorld's reality: rain forecasts in NorCal/WA trigger stock positioning and endcap tasks for boots and rainwear.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SanMar's in-stock dominance: availability wins the uniform/workwear customer; turns are a constraint, not the objective.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Standard retail planning furniture the app adopts: 4-5-4 retail calendar for comparable weeks, weeks-of-supply and GMROI as shared vocabulary, open-to-buy discipline on the seasonal 20%, and exception-based management everywhere (queues, not reports).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8. Phased Delivery Plan</w:t>
      </w:r>
    </w:p>
    <w:tbl>
      <w:tblPr>
        <w:tblW w:type="dxa" w:w="9880"/>
        <w:tblBorders>
          <w:top w:val="single" w:color="C9D3E8" w:sz="4"/>
          <w:left w:val="single" w:color="C9D3E8" w:sz="4"/>
          <w:bottom w:val="single" w:color="C9D3E8" w:sz="4"/>
          <w:right w:val="single" w:color="C9D3E8" w:sz="4"/>
          <w:insideH w:val="single" w:color="C9D3E8" w:sz="4"/>
          <w:insideV w:val="single" w:color="C9D3E8" w:sz="4"/>
        </w:tblBorders>
      </w:tblPr>
      <w:tblGrid>
        <w:gridCol w:w="1976"/>
        <w:gridCol w:w="4150"/>
        <w:gridCol w:w="1186"/>
        <w:gridCol w:w="2569"/>
      </w:tblGrid>
      <w:tr>
        <w:trPr>
          <w:tblHeader/>
        </w:trPr>
        <w:tc>
          <w:tcPr>
            <w:tcW w:type="dxa" w:w="1976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150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186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dxa" w:w="2569"/>
            <w:shd w:fill="1F2A4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W w:type="dxa" w:w="19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 Data foundation (wks 1-4)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ERP/POS + SPS EDI ingestion to bronze/silver; item/store/vendor conformance; crossref build; Excel size-curve migration; manual-table seeding (lead times, tier pricing)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Admin &amp; Data Health</w:t>
            </w:r>
          </w:p>
        </w:tc>
        <w:tc>
          <w:tcPr>
            <w:tcW w:type="dxa" w:w="25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Sales, inventory, PO, receiver, invoice tables landing daily and tying out</w:t>
            </w:r>
          </w:p>
        </w:tc>
      </w:tr>
      <w:tr>
        <w:tc>
          <w:tcPr>
            <w:tcW w:type="dxa" w:w="19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1. Reconciliation &amp; PO mgmt (wks 4-10)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3-way match engine, exception queue, debit memo drafts; PO lifecycle mgmt; master-statement recon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4.5</w:t>
            </w:r>
          </w:p>
        </w:tc>
        <w:tc>
          <w:tcPr>
            <w:tcW w:type="dxa" w:w="25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Auto-clear &gt;70% of lines; exception queue live in month-end close</w:t>
            </w:r>
          </w:p>
        </w:tc>
      </w:tr>
      <w:tr>
        <w:tc>
          <w:tcPr>
            <w:tcW w:type="dxa" w:w="19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2. Replenishment intelligence (wks 8-16)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Seasonality + size-curve engine, projected breaks, ROP suggestions, transfer-first, ATS Tier A (Carhartt/Wolverine 846), lead-time actuals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4.1-4.3</w:t>
            </w:r>
          </w:p>
        </w:tc>
        <w:tc>
          <w:tcPr>
            <w:tcW w:type="dxa" w:w="25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Suggestion acceptance &gt;60%; measured stockout reduction in pilot stores</w:t>
            </w:r>
          </w:p>
        </w:tc>
      </w:tr>
      <w:tr>
        <w:tc>
          <w:tcPr>
            <w:tcW w:type="dxa" w:w="19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3. Pricing, markdown, comms (wks 14-22)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Price file ingestion + ERP staging, markdown ladders + label files, store task engine, LLM digests; ATS Tier B portals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4.6-4.8</w:t>
            </w:r>
          </w:p>
        </w:tc>
        <w:tc>
          <w:tcPr>
            <w:tcW w:type="dxa" w:w="25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One full vendor price event and one markdown event executed end-to-end</w:t>
            </w:r>
          </w:p>
        </w:tc>
      </w:tr>
      <w:tr>
        <w:tc>
          <w:tcPr>
            <w:tcW w:type="dxa" w:w="19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4. Optimization &amp; AI insights (wks 20+)</w:t>
            </w:r>
          </w:p>
        </w:tc>
        <w:tc>
          <w:tcPr>
            <w:tcW w:type="dxa" w:w="4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Experiment engine, opportunity-buy scoring, weather-triggered plays, markdown policy optimization; later: assortment planning, planogram exploration</w:t>
            </w:r>
          </w:p>
        </w:tc>
        <w:tc>
          <w:tcPr>
            <w:tcW w:type="dxa" w:w="118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4.4, 4.9</w:t>
            </w:r>
          </w:p>
        </w:tc>
        <w:tc>
          <w:tcPr>
            <w:tcW w:type="dxa" w:w="25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First A/B read-outs driving adopted policy changes</w:t>
            </w:r>
          </w:p>
        </w:tc>
      </w:tr>
    </w:tbl>
    <w:p>
      <w:pPr>
        <w:spacing w:after="140" w:before="0"/>
      </w:pPr>
      <w:r>
        <w:rPr>
          <w:rFonts w:ascii="Calibri" w:cs="Calibri" w:eastAsia="Calibri" w:hAnsi="Calibri"/>
          <w:i/>
          <w:iCs/>
          <w:color w:val="222222"/>
          <w:sz w:val="19"/>
          <w:szCs w:val="19"/>
        </w:rPr>
        <w:t xml:space="preserve">Pilot pattern per the call: burn the math in on one store; the other 37 inherit it. Phases overlap deliberately - weeks, not months, per work stream.</w:t>
      </w:r>
    </w:p>
    <w:p>
      <w:pPr>
        <w:pStyle w:val="Heading1"/>
        <w:spacing w:after="160" w:before="340"/>
      </w:pPr>
      <w:r>
        <w:rPr>
          <w:rFonts w:ascii="Calibri" w:cs="Calibri" w:eastAsia="Calibri" w:hAnsi="Calibri"/>
          <w:b/>
          <w:bCs/>
          <w:color w:val="1F2A44"/>
          <w:sz w:val="30"/>
          <w:szCs w:val="30"/>
        </w:rPr>
        <w:t xml:space="preserve">9. Open Questions for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Which ERP/POS platform, and what extract options exist (direct DB, API, file drop)? Alex deferred technical detail - needs his tech lead.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Current SPS Commerce document set actually enabled per vendor (846 and 832 enablement status for Carhartt/Wolverine specifically).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Receiving discipline: how reliably do stores receive against the correct mini-PO today? (Determines match-rate starting point.)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Traffic counter platform and store coverage; loyalty ('The Crew') data availability as a demand feature.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E-commerce: workworld.com runs on Shopify - is online fulfillment ship-from-store, and is that demand in scope for store-level planning?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Warehouse role: what actually flows through the small Sacramento warehouse (e-comm? opportunistic buys? trucks?).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FTE count on the reconciliation process today (sizes the Phase 1 business case).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Markdown cadence and label/tag printing systems in stores (file formats for label generation).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00"/>
      </w:pPr>
    </w:lvl>
    <w:lvl w:ilvl="1" w15:tentative="1">
      <w:start w:val="1"/>
      <w:numFmt w:val="bullet"/>
      <w:lvlText w:val="◦"/>
      <w:lvlJc w:val="left"/>
      <w:pPr>
        <w:ind w:left="7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2026-07-14T23:56:51.434Z</dcterms:created>
  <dcterms:modified xsi:type="dcterms:W3CDTF">2026-07-14T23:56:51.435Z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