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2A44"/>
          <w:sz w:val="44"/>
          <w:szCs w:val="44"/>
        </w:rPr>
        <w:t xml:space="preserve">WorkWorld — Merchandise Planning &amp; Operations</w:t>
      </w:r>
    </w:p>
    <w:p>
      <w:pPr>
        <w:spacing w:after="120"/>
        <w:jc w:val="center"/>
      </w:pPr>
      <w:r>
        <w:rPr>
          <w:color w:val="2E5BFF"/>
          <w:sz w:val="30"/>
          <w:szCs w:val="30"/>
        </w:rPr>
        <w:t xml:space="preserve">Demo Talking Points by Module &amp; Visual</w:t>
      </w:r>
    </w:p>
    <w:p>
      <w:pPr>
        <w:spacing w:after="2000"/>
        <w:jc w:val="center"/>
      </w:pPr>
      <w:r>
        <w:rPr>
          <w:color w:val="5A6880"/>
          <w:sz w:val="22"/>
          <w:szCs w:val="22"/>
        </w:rPr>
        <w:t xml:space="preserve">Purpose · Logic · Data sources for every screen element — with live captures and internal team primers</w:t>
      </w:r>
    </w:p>
    <w:p>
      <w:pPr>
        <w:jc w:val="center"/>
      </w:pPr>
      <w:r>
        <w:rPr>
          <w:color w:val="5A6880"/>
          <w:sz w:val="20"/>
          <w:szCs w:val="20"/>
        </w:rPr>
        <w:t xml:space="preserve">Gart Companies / WorkWorld · SolutionSet · Demo build WW-2026-DEMO-BASE (v0-0006)</w:t>
      </w:r>
    </w:p>
    <w:p>
      <w:pPr>
        <w:jc w:val="center"/>
      </w:pPr>
      <w:r>
        <w:rPr>
          <w:color w:val="5A6880"/>
          <w:sz w:val="20"/>
          <w:szCs w:val="20"/>
        </w:rPr>
        <w:t xml:space="preserve">July 2026 — demo data anchored to 2026-07-14</w:t>
      </w:r>
    </w:p>
    <w:p>
      <w:r>
        <w:br w:type="page"/>
      </w:r>
    </w:p>
    <w:p>
      <w:pPr>
        <w:pStyle w:val="Heading1"/>
        <w:spacing w:after="120" w:before="300"/>
      </w:pPr>
      <w:r>
        <w:rPr>
          <w:color w:val="1F2A44"/>
        </w:rPr>
        <w:t xml:space="preserve">How to use this document</w:t>
      </w:r>
    </w:p>
    <w:p>
      <w:pPr>
        <w:spacing w:after="120"/>
      </w:pPr>
      <w:r>
        <w:rPr>
          <w:sz w:val="21"/>
          <w:szCs w:val="21"/>
        </w:rPr>
        <w:t xml:space="preserve">Each of the ten modules gets a section below. Shaded boxes marked FOR THE SOLUTIONSET TEAM are internal background — read them to get fluent, don't recite them to the client. For every visual you then get three lines: PURPOSE is the sentence to say out loud — why the visual exists and the business question it answers. LOGIC is how the number is actually computed, in plain language, so you can answer "where does that come from?" without hand-waving. DATA names the Databricks view feeding the visual and the underlying tables behind it. Where a visual is a chart or map, a live capture from the deployed app is embedded so you can prepare away from a screen.</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The client in one paragraph: </w:t>
            </w:r>
            <w:r>
              <w:rPr>
                <w:sz w:val="19"/>
                <w:szCs w:val="19"/>
              </w:rPr>
              <w:t xml:space="preserve">Gart Companies runs WorkWorld, a 38-store workwear retailer (think Carhartt jackets, work boots, hi-vis gear) on the US west coast. Vendors ship direct to each store rather than through a central warehouse — so every purchase order fans out into per-store documents, which is why reconciliation is painful. About 80% of the assortment is replenishment (the same core items, bought again and again) and 20% is seasonal (rainwear, insulated gear). Demand moves with weather — rain and cold snaps sell product — which most planning tools ignore.</w:t>
            </w:r>
          </w:p>
          <w:p>
            <w:pPr>
              <w:spacing w:after="80"/>
            </w:pPr>
            <w:r>
              <w:rPr>
                <w:b/>
                <w:bCs/>
                <w:color w:val="1F2A44"/>
                <w:sz w:val="19"/>
                <w:szCs w:val="19"/>
              </w:rPr>
              <w:t xml:space="preserve">The application category: </w:t>
            </w:r>
            <w:r>
              <w:rPr>
                <w:sz w:val="19"/>
                <w:szCs w:val="19"/>
              </w:rPr>
              <w:t xml:space="preserve">This app is a merchandise planning &amp; operations platform — the software layer that sits between the client's ERP (where POs and invoices technically live) and their BI/reports (where they look at what already happened). The category's job is the decisions in the middle: how much to buy, when to order it, from whom, at what price, when to mark it down, and whether the stores actually executed. Enterprise names in this space are Blue Yonder, o9, RELEX — built and priced for chains with hundreds of stores. Our angle: the 20% of that capability a 38-store chain actually needs, on the client's own Databricks lakehouse, at a fraction of the cost, with AI drafting the judgment calls a small merch team doesn't have headcount for.</w:t>
            </w:r>
          </w:p>
          <w:p>
            <w:pPr>
              <w:spacing w:after="80"/>
            </w:pPr>
            <w:r>
              <w:rPr>
                <w:b/>
                <w:bCs/>
                <w:color w:val="1F2A44"/>
                <w:sz w:val="19"/>
                <w:szCs w:val="19"/>
              </w:rPr>
              <w:t xml:space="preserve">Why the demo is shaped this way: </w:t>
            </w:r>
            <w:r>
              <w:rPr>
                <w:sz w:val="19"/>
                <w:szCs w:val="19"/>
              </w:rPr>
              <w:t xml:space="preserve">Every module ends in an action a human approves — a PO proposal, a debit memo, a price staging, a store task. That's deliberate: the pitch is not 'another dashboard,' it's 'the work happens here.' The recurring analytical theme is that vendors' quoted lead times are optimistic, so the engine plans on observed lead times instead — several visuals exist purely to prove that point with the client's own (demo) data.</w:t>
            </w:r>
          </w:p>
        </w:tc>
      </w:tr>
    </w:tbl>
    <w:p>
      <w:pPr>
        <w:spacing w:after="120"/>
      </w:pPr>
    </w:p>
    <w:p>
      <w:pPr>
        <w:spacing w:after="80"/>
      </w:pPr>
      <w:r>
        <w:rPr>
          <w:sz w:val="21"/>
          <w:szCs w:val="21"/>
        </w:rPr>
        <w:t xml:space="preserve">Three facts that cover most audience questions:</w:t>
      </w:r>
    </w:p>
    <w:p>
      <w:pPr>
        <w:pStyle w:val="ListParagraph"/>
        <w:numPr>
          <w:ilvl w:val="0"/>
          <w:numId w:val="2"/>
        </w:numPr>
        <w:spacing w:after="60"/>
      </w:pPr>
      <w:r>
        <w:rPr>
          <w:sz w:val="20"/>
          <w:szCs w:val="20"/>
        </w:rPr>
        <w:t xml:space="preserve">Architecture in one sentence: the browser app only ever calls one read-only endpoint, which is restricted to 23 purpose-built views (plus 4 registry tables) in the sset1000.supplychain schema — the views ARE the API, so every number on screen is reproducible with a SQL query.</w:t>
      </w:r>
    </w:p>
    <w:p>
      <w:pPr>
        <w:pStyle w:val="ListParagraph"/>
        <w:numPr>
          <w:ilvl w:val="0"/>
          <w:numId w:val="2"/>
        </w:numPr>
        <w:spacing w:after="60"/>
      </w:pPr>
      <w:r>
        <w:rPr>
          <w:sz w:val="20"/>
          <w:szCs w:val="20"/>
        </w:rPr>
        <w:t xml:space="preserve">All data is generated demo data anchored to July 14, 2026 ("today" in the app). Patterns are realistic — 38 stores, ~80% replenishment / 20% seasonal, weather-driven workwear demand — but no real WorkWorld data is present.</w:t>
      </w:r>
    </w:p>
    <w:p>
      <w:pPr>
        <w:pStyle w:val="ListParagraph"/>
        <w:numPr>
          <w:ilvl w:val="0"/>
          <w:numId w:val="2"/>
        </w:numPr>
        <w:spacing w:after="60"/>
      </w:pPr>
      <w:r>
        <w:rPr>
          <w:sz w:val="20"/>
          <w:szCs w:val="20"/>
        </w:rPr>
        <w:t xml:space="preserve">The recurring theme across modules: quoted vendor lead times are systematically optimistic, so the engine plans at observed lead times (P50, with P90 safety). Several visuals exist to make that case.</w:t>
      </w:r>
    </w:p>
    <w:p>
      <w:r>
        <w:br w:type="page"/>
      </w:r>
    </w:p>
    <w:p>
      <w:pPr>
        <w:pStyle w:val="Heading1"/>
        <w:spacing w:after="120" w:before="300"/>
      </w:pPr>
      <w:r>
        <w:rPr>
          <w:color w:val="1F2A44"/>
        </w:rPr>
        <w:t xml:space="preserve">Module 1 — Command Center</w:t>
      </w:r>
    </w:p>
    <w:p>
      <w:pPr>
        <w:spacing w:after="160"/>
      </w:pPr>
      <w:r>
        <w:rPr>
          <w:i/>
          <w:iCs/>
          <w:color w:val="5A6880"/>
          <w:sz w:val="21"/>
          <w:szCs w:val="21"/>
        </w:rPr>
        <w:t xml:space="preserve">The landing page. One row of value-driver KPIs across the whole network, then the two curves every merchant conversation starts with: sales and margin. The message: this is a single pane over planning, buying, reconciliation, and store execution — not another report.</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Concepts to know: </w:t>
            </w:r>
            <w:r>
              <w:rPr>
                <w:sz w:val="19"/>
                <w:szCs w:val="19"/>
              </w:rPr>
              <w:t xml:space="preserve">A 'position' is one SKU at one store — the atomic unit of retail inventory (38 stores × thousands of SKUs = the position count). In-stock rate is the % of positions with stock on hand. Inventory turns = how many times a year the inventory 'sells through' (annual cost of goods ÷ inventory value at cost) — workwear retail lives around 2.5–4. Gross margin % is (sales − cost) ÷ sales. 'Meat sizes' is apparel slang for the core sizes (M/L/XL) that carry most volume; 'fringe' sizes are the edges (XS, 3XL).</w:t>
            </w:r>
          </w:p>
          <w:p>
            <w:pPr>
              <w:spacing w:after="80"/>
            </w:pPr>
            <w:r>
              <w:rPr>
                <w:b/>
                <w:bCs/>
                <w:color w:val="1F2A44"/>
                <w:sz w:val="19"/>
                <w:szCs w:val="19"/>
              </w:rPr>
              <w:t xml:space="preserve">Client need: </w:t>
            </w:r>
            <w:r>
              <w:rPr>
                <w:sz w:val="19"/>
                <w:szCs w:val="19"/>
              </w:rPr>
              <w:t xml:space="preserve">Leadership currently assembles this picture from emailed spreadsheets days after the fact. The Command Center's job in the demo is credibility in the first five minutes: real KPIs, computed live from the lakehouse, with red/amber states that point at the other nine modules.</w:t>
            </w:r>
          </w:p>
          <w:p>
            <w:pPr>
              <w:spacing w:after="80"/>
            </w:pPr>
            <w:r>
              <w:rPr>
                <w:b/>
                <w:bCs/>
                <w:color w:val="1F2A44"/>
                <w:sz w:val="19"/>
                <w:szCs w:val="19"/>
              </w:rPr>
              <w:t xml:space="preserve">What to internalize: </w:t>
            </w:r>
            <w:r>
              <w:rPr>
                <w:sz w:val="19"/>
                <w:szCs w:val="19"/>
              </w:rPr>
              <w:t xml:space="preserve">Every KPI here is a door into a module — if the client reacts to a tile (say, meat-size breaks), navigate to that module next rather than following the script order.</w:t>
            </w:r>
          </w:p>
        </w:tc>
      </w:tr>
    </w:tbl>
    <w:p>
      <w:pPr>
        <w:spacing w:after="120"/>
      </w:pPr>
    </w:p>
    <w:p>
      <w:pPr>
        <w:pStyle w:val="Heading2"/>
        <w:spacing w:after="60" w:before="220"/>
      </w:pPr>
      <w:r>
        <w:rPr>
          <w:color w:val="2E5BFF"/>
        </w:rPr>
        <w:t xml:space="preserve">KPI strip (nine tiles)</w:t>
      </w:r>
    </w:p>
    <w:p>
      <w:pPr>
        <w:spacing w:after="80"/>
        <w:ind w:left="200"/>
      </w:pPr>
      <w:r>
        <w:rPr>
          <w:b/>
          <w:bCs/>
          <w:color w:val="1F2A44"/>
          <w:sz w:val="20"/>
          <w:szCs w:val="20"/>
        </w:rPr>
        <w:t xml:space="preserve">Purpose —  </w:t>
      </w:r>
      <w:r>
        <w:rPr>
          <w:sz w:val="20"/>
          <w:szCs w:val="20"/>
        </w:rPr>
        <w:t xml:space="preserve">Nine numbers a merchandising VP would ask for in the first five minutes, computed live at page load. Green/amber/red states draw the eye to what needs attention today.</w:t>
      </w:r>
    </w:p>
    <w:p>
      <w:pPr>
        <w:spacing w:after="80"/>
        <w:ind w:left="200"/>
      </w:pPr>
      <w:r>
        <w:rPr>
          <w:b/>
          <w:bCs/>
          <w:color w:val="1F2A44"/>
          <w:sz w:val="20"/>
          <w:szCs w:val="20"/>
        </w:rPr>
        <w:t xml:space="preserve">Logic —  </w:t>
      </w:r>
      <w:r>
        <w:rPr>
          <w:sz w:val="20"/>
          <w:szCs w:val="20"/>
        </w:rPr>
        <w:t xml:space="preserve">In-stock rate = stocked positions ÷ all store-SKU positions in yesterday's inventory snapshot. Meat-size breaks counts zero-on-hand positions in core ("meat") sizes only — a stockout in an M or L hurts far more than one in a 3XL. Inventory turns = trailing-12-month COGS ÷ current inventory at cost. Gross margin = trailing-12-month margin dollars ÷ net sales. Sales-30-days pairs with an estimate of sales lost to stockouts over the same window. 3-way auto-clear = share of invoice lines matched with no variance (no human touch). Replen queue, open deal savings, and store tasks count the items waiting in Modules 3, 5, and 9.</w:t>
      </w:r>
    </w:p>
    <w:p>
      <w:pPr>
        <w:spacing w:after="80"/>
        <w:ind w:left="200"/>
      </w:pPr>
      <w:r>
        <w:rPr>
          <w:b/>
          <w:bCs/>
          <w:color w:val="1F2A44"/>
          <w:sz w:val="20"/>
          <w:szCs w:val="20"/>
        </w:rPr>
        <w:t xml:space="preserve">Data —  </w:t>
      </w:r>
      <w:r>
        <w:rPr>
          <w:sz w:val="20"/>
          <w:szCs w:val="20"/>
        </w:rPr>
        <w:t xml:space="preserve">kpi_summary_v — one row assembled from fact_inventory_daily (snapshot 2026-07-13), fact_sales_daily, stockout_events, threeway_match, replen_suggestions, vendor_promo_opportunities, store_tasks, with size_curves flagging meat sizes.</w:t>
      </w:r>
    </w:p>
    <w:p>
      <w:pPr>
        <w:pStyle w:val="Heading2"/>
        <w:spacing w:after="60" w:before="220"/>
      </w:pPr>
      <w:r>
        <w:rPr>
          <w:color w:val="2E5BFF"/>
        </w:rPr>
        <w:t xml:space="preserve">Weekly sales &amp; rain-day contribution (line chart)</w:t>
      </w:r>
    </w:p>
    <w:p>
      <w:pPr>
        <w:spacing w:after="40" w:before="40"/>
        <w:jc w:val="center"/>
      </w:pPr>
      <w:r>
        <w:drawing>
          <wp:inline distT="0" distB="0" distL="0" distR="0">
            <wp:extent cx="52673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67325" cy="2667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Twelve months of weekly net sales with the rain-day share split out. For workwear, weather is a demand signal, not trivia — this chart shows how much of the business arrives on rain days, which sets up the weather-adjusted forecasting story in Module 2.</w:t>
      </w:r>
    </w:p>
    <w:p>
      <w:pPr>
        <w:spacing w:after="80"/>
        <w:ind w:left="200"/>
      </w:pPr>
      <w:r>
        <w:rPr>
          <w:b/>
          <w:bCs/>
          <w:color w:val="1F2A44"/>
          <w:sz w:val="20"/>
          <w:szCs w:val="20"/>
        </w:rPr>
        <w:t xml:space="preserve">Logic —  </w:t>
      </w:r>
      <w:r>
        <w:rPr>
          <w:sz w:val="20"/>
          <w:szCs w:val="20"/>
        </w:rPr>
        <w:t xml:space="preserve">Daily POS sales rolled up to weeks. The teal band is the same sales restricted to days flagged as rain events at that store's location.</w:t>
      </w:r>
    </w:p>
    <w:p>
      <w:pPr>
        <w:spacing w:after="80"/>
        <w:ind w:left="200"/>
      </w:pPr>
      <w:r>
        <w:rPr>
          <w:b/>
          <w:bCs/>
          <w:color w:val="1F2A44"/>
          <w:sz w:val="20"/>
          <w:szCs w:val="20"/>
        </w:rPr>
        <w:t xml:space="preserve">Data —  </w:t>
      </w:r>
      <w:r>
        <w:rPr>
          <w:sz w:val="20"/>
          <w:szCs w:val="20"/>
        </w:rPr>
        <w:t xml:space="preserve">sales_trend_v — fact_sales_daily grouped by week; rain_day_sales sums sales where the day's weather_rain_flag is true.</w:t>
      </w:r>
    </w:p>
    <w:p>
      <w:pPr>
        <w:pStyle w:val="Heading2"/>
        <w:spacing w:after="60" w:before="220"/>
      </w:pPr>
      <w:r>
        <w:rPr>
          <w:color w:val="2E5BFF"/>
        </w:rPr>
        <w:t xml:space="preserve">Weekly margin dollars (bar chart)</w:t>
      </w:r>
    </w:p>
    <w:p>
      <w:pPr>
        <w:spacing w:after="40" w:before="40"/>
        <w:jc w:val="center"/>
      </w:pPr>
      <w:r>
        <w:drawing>
          <wp:inline distT="0" distB="0" distL="0" distR="0">
            <wp:extent cx="52673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67325" cy="2667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The margin twin of the sales chart, with promo-driven sales overlaid — a health check that growth isn't being bought with discounting.</w:t>
      </w:r>
    </w:p>
    <w:p>
      <w:pPr>
        <w:spacing w:after="80"/>
        <w:ind w:left="200"/>
      </w:pPr>
      <w:r>
        <w:rPr>
          <w:b/>
          <w:bCs/>
          <w:color w:val="1F2A44"/>
          <w:sz w:val="20"/>
          <w:szCs w:val="20"/>
        </w:rPr>
        <w:t xml:space="preserve">Logic —  </w:t>
      </w:r>
      <w:r>
        <w:rPr>
          <w:sz w:val="20"/>
          <w:szCs w:val="20"/>
        </w:rPr>
        <w:t xml:space="preserve">Weekly sum of margin dollars (navy bars) and of sales rung on promo (orange bars) from the same daily fact.</w:t>
      </w:r>
    </w:p>
    <w:p>
      <w:pPr>
        <w:spacing w:after="80"/>
        <w:ind w:left="200"/>
      </w:pPr>
      <w:r>
        <w:rPr>
          <w:b/>
          <w:bCs/>
          <w:color w:val="1F2A44"/>
          <w:sz w:val="20"/>
          <w:szCs w:val="20"/>
        </w:rPr>
        <w:t xml:space="preserve">Data —  </w:t>
      </w:r>
      <w:r>
        <w:rPr>
          <w:sz w:val="20"/>
          <w:szCs w:val="20"/>
        </w:rPr>
        <w:t xml:space="preserve">sales_trend_v — same weekly rollup of fact_sales_daily; promo_sales sums sales where promo_flag is true.</w:t>
      </w:r>
    </w:p>
    <w:p>
      <w:r>
        <w:br w:type="page"/>
      </w:r>
    </w:p>
    <w:p>
      <w:pPr>
        <w:pStyle w:val="Heading1"/>
        <w:spacing w:after="120" w:before="300"/>
      </w:pPr>
      <w:r>
        <w:rPr>
          <w:color w:val="1F2A44"/>
        </w:rPr>
        <w:t xml:space="preserve">Module 2 — Demand Planning</w:t>
      </w:r>
    </w:p>
    <w:p>
      <w:pPr>
        <w:spacing w:after="160"/>
      </w:pPr>
      <w:r>
        <w:rPr>
          <w:i/>
          <w:iCs/>
          <w:color w:val="5A6880"/>
          <w:sz w:val="21"/>
          <w:szCs w:val="21"/>
        </w:rPr>
        <w:t xml:space="preserve">The forecast is only useful when it becomes purchase timing. This module slices forecasted demand any way the buyer thinks (category, brand, vendor, store, region), shifts it back by vendor lead times to show when orders must be placed, and ends by generating an actual PO proposal.</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Concepts to know: </w:t>
            </w:r>
            <w:r>
              <w:rPr>
                <w:sz w:val="19"/>
                <w:szCs w:val="19"/>
              </w:rPr>
              <w:t xml:space="preserve">A demand forecast predicts units per store × SKU × week. Lead time is the gap between placing an order and receiving it — so to have goods for week X you must order by week X minus lead time (the 'order-by' date). Safety stock is the buffer held against forecast error and late deliveries. An 'open-to-buy' mindset means buyers care about when dollars get committed, not just how much.</w:t>
            </w:r>
          </w:p>
          <w:p>
            <w:pPr>
              <w:spacing w:after="80"/>
            </w:pPr>
            <w:r>
              <w:rPr>
                <w:b/>
                <w:bCs/>
                <w:color w:val="1F2A44"/>
                <w:sz w:val="19"/>
                <w:szCs w:val="19"/>
              </w:rPr>
              <w:t xml:space="preserve">Client need: </w:t>
            </w:r>
            <w:r>
              <w:rPr>
                <w:sz w:val="19"/>
                <w:szCs w:val="19"/>
              </w:rPr>
              <w:t xml:space="preserve">WorkWorld's buyers plan in spreadsheets, store by store, mostly reacting to what stocked out last week. Nobody currently converts the forecast into order timing, and nobody quantifies weather demand — even though rainwear demand is the most weather-sensitive thing they sell. The PO generator at the bottom is the module's payoff: it replaces the most laborious spreadsheet in the building.</w:t>
            </w:r>
          </w:p>
          <w:p>
            <w:pPr>
              <w:spacing w:after="80"/>
            </w:pPr>
            <w:r>
              <w:rPr>
                <w:b/>
                <w:bCs/>
                <w:color w:val="1F2A44"/>
                <w:sz w:val="19"/>
                <w:szCs w:val="19"/>
              </w:rPr>
              <w:t xml:space="preserve">What to internalize: </w:t>
            </w:r>
            <w:r>
              <w:rPr>
                <w:sz w:val="19"/>
                <w:szCs w:val="19"/>
              </w:rPr>
              <w:t xml:space="preserve">The order-by-week flip is the intellectual center of the whole demo. Demand plotted when it SELLS looks comfortable; the same demand plotted when it must be ORDERED shows bars in the past — demand already missed. If the client understands that one chart, everything else follows.</w:t>
            </w:r>
          </w:p>
        </w:tc>
      </w:tr>
    </w:tbl>
    <w:p>
      <w:pPr>
        <w:spacing w:after="120"/>
      </w:pPr>
    </w:p>
    <w:p>
      <w:pPr>
        <w:pStyle w:val="Heading2"/>
        <w:spacing w:after="60" w:before="220"/>
      </w:pPr>
      <w:r>
        <w:rPr>
          <w:color w:val="2E5BFF"/>
        </w:rPr>
        <w:t xml:space="preserve">Demand &amp; purchase timeline (stacked bar with controls)</w:t>
      </w:r>
    </w:p>
    <w:p>
      <w:pPr>
        <w:spacing w:after="40" w:before="40"/>
        <w:jc w:val="center"/>
      </w:pPr>
      <w:r>
        <w:drawing>
          <wp:inline distT="0" distB="0" distL="0" distR="0">
            <wp:extent cx="6096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7907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The centerpiece. Stacked weekly forecast, then flip the X axis from "demand week" to "order-by week" and the same demand re-stacks onto the dates orders must be PLACED. Bars that land in the past are labeled MISSED — demand we can no longer buy for. Then layer the weather signal: green = weather-driven demand we can still react to; red = the order window already closed.</w:t>
      </w:r>
    </w:p>
    <w:p>
      <w:pPr>
        <w:spacing w:after="80"/>
        <w:ind w:left="200"/>
      </w:pPr>
      <w:r>
        <w:rPr>
          <w:b/>
          <w:bCs/>
          <w:color w:val="1F2A44"/>
          <w:sz w:val="20"/>
          <w:szCs w:val="20"/>
        </w:rPr>
        <w:t xml:space="preserve">Logic —  </w:t>
      </w:r>
      <w:r>
        <w:rPr>
          <w:sz w:val="20"/>
          <w:szCs w:val="20"/>
        </w:rPr>
        <w:t xml:space="preserve">Each forecast row carries the vendor's observed median (P50) lead time; order-by week = forecast week minus that lead time. "Reactable" means the computed order-by date is today or later. The chart shows the top 6 groups plus Other, in units or dollars at cost/retail.</w:t>
      </w:r>
    </w:p>
    <w:p>
      <w:pPr>
        <w:spacing w:after="80"/>
        <w:ind w:left="200"/>
      </w:pPr>
      <w:r>
        <w:rPr>
          <w:b/>
          <w:bCs/>
          <w:color w:val="1F2A44"/>
          <w:sz w:val="20"/>
          <w:szCs w:val="20"/>
        </w:rPr>
        <w:t xml:space="preserve">Data —  </w:t>
      </w:r>
      <w:r>
        <w:rPr>
          <w:sz w:val="20"/>
          <w:szCs w:val="20"/>
        </w:rPr>
        <w:t xml:space="preserve">demand_timeline_v — demand_forecast joined to the demand_base item/store universe, dim_store (climate zone), dim_vendor, and vendor_lead_times (observed P50; 21-day default when a vendor has no history).</w:t>
      </w:r>
    </w:p>
    <w:p>
      <w:pPr>
        <w:pStyle w:val="Heading2"/>
        <w:spacing w:after="60" w:before="220"/>
      </w:pPr>
      <w:r>
        <w:rPr>
          <w:color w:val="2E5BFF"/>
        </w:rPr>
        <w:t xml:space="preserve">Weekly demand matrix (heat table)</w:t>
      </w:r>
    </w:p>
    <w:p>
      <w:pPr>
        <w:spacing w:after="80"/>
        <w:ind w:left="200"/>
      </w:pPr>
      <w:r>
        <w:rPr>
          <w:b/>
          <w:bCs/>
          <w:color w:val="1F2A44"/>
          <w:sz w:val="20"/>
          <w:szCs w:val="20"/>
        </w:rPr>
        <w:t xml:space="preserve">Purpose —  </w:t>
      </w:r>
      <w:r>
        <w:rPr>
          <w:sz w:val="20"/>
          <w:szCs w:val="20"/>
        </w:rPr>
        <w:t xml:space="preserve">The same forecast as a planner's spreadsheet: weeks down, categories across, shading scaled within each column so hot weeks stand out per category. This is the view buyers trust because it looks like what they already use — except it's live.</w:t>
      </w:r>
    </w:p>
    <w:p>
      <w:pPr>
        <w:spacing w:after="80"/>
        <w:ind w:left="200"/>
      </w:pPr>
      <w:r>
        <w:rPr>
          <w:b/>
          <w:bCs/>
          <w:color w:val="1F2A44"/>
          <w:sz w:val="20"/>
          <w:szCs w:val="20"/>
        </w:rPr>
        <w:t xml:space="preserve">Logic —  </w:t>
      </w:r>
      <w:r>
        <w:rPr>
          <w:sz w:val="20"/>
          <w:szCs w:val="20"/>
        </w:rPr>
        <w:t xml:space="preserve">Total forecast (base + weather adjustment) summed per week × category, filterable by region or store; units or dollars.</w:t>
      </w:r>
    </w:p>
    <w:p>
      <w:pPr>
        <w:spacing w:after="80"/>
        <w:ind w:left="200"/>
      </w:pPr>
      <w:r>
        <w:rPr>
          <w:b/>
          <w:bCs/>
          <w:color w:val="1F2A44"/>
          <w:sz w:val="20"/>
          <w:szCs w:val="20"/>
        </w:rPr>
        <w:t xml:space="preserve">Data —  </w:t>
      </w:r>
      <w:r>
        <w:rPr>
          <w:sz w:val="20"/>
          <w:szCs w:val="20"/>
        </w:rPr>
        <w:t xml:space="preserve">demand_timeline_v again — the matrix is a client-side pivot of the same rows, so it always agrees with the chart above it.</w:t>
      </w:r>
    </w:p>
    <w:p>
      <w:pPr>
        <w:pStyle w:val="Heading2"/>
        <w:spacing w:after="60" w:before="220"/>
      </w:pPr>
      <w:r>
        <w:rPr>
          <w:color w:val="2E5BFF"/>
        </w:rPr>
        <w:t xml:space="preserve">Proposed PO generator</w:t>
      </w:r>
    </w:p>
    <w:p>
      <w:pPr>
        <w:spacing w:after="80"/>
        <w:ind w:left="200"/>
      </w:pPr>
      <w:r>
        <w:rPr>
          <w:b/>
          <w:bCs/>
          <w:color w:val="1F2A44"/>
          <w:sz w:val="20"/>
          <w:szCs w:val="20"/>
        </w:rPr>
        <w:t xml:space="preserve">Purpose —  </w:t>
      </w:r>
      <w:r>
        <w:rPr>
          <w:sz w:val="20"/>
          <w:szCs w:val="20"/>
        </w:rPr>
        <w:t xml:space="preserve">Where the module pays rent: pick a horizon (2–8 weeks), include or exclude weather demand, click Generate, and get one proposed master PO per vendor with an MOQ check, expected receipt dates, and a CSV export ready for review or EDI staging. The point to land: this math is currently done by hand in spreadsheets, store by store.</w:t>
      </w:r>
    </w:p>
    <w:p>
      <w:pPr>
        <w:spacing w:after="80"/>
        <w:ind w:left="200"/>
      </w:pPr>
      <w:r>
        <w:rPr>
          <w:b/>
          <w:bCs/>
          <w:color w:val="1F2A44"/>
          <w:sz w:val="20"/>
          <w:szCs w:val="20"/>
        </w:rPr>
        <w:t xml:space="preserve">Logic —  </w:t>
      </w:r>
      <w:r>
        <w:rPr>
          <w:sz w:val="20"/>
          <w:szCs w:val="20"/>
        </w:rPr>
        <w:t xml:space="preserve">Order quantity per store × SKU = forecast over the horizon (+ weather layer if included) + safety stock − current position, where position = on hand + on order + in transit. Only positive needs become lines; lines roll up to one master PO per vendor; the vendor's MOQ flags under-minimum orders; expected receipt = today + observed P50 lead time. Tier-break notes surface consolidation opportunities from Module 5.</w:t>
      </w:r>
    </w:p>
    <w:p>
      <w:pPr>
        <w:spacing w:after="80"/>
        <w:ind w:left="200"/>
      </w:pPr>
      <w:r>
        <w:rPr>
          <w:b/>
          <w:bCs/>
          <w:color w:val="1F2A44"/>
          <w:sz w:val="20"/>
          <w:szCs w:val="20"/>
        </w:rPr>
        <w:t xml:space="preserve">Data —  </w:t>
      </w:r>
      <w:r>
        <w:rPr>
          <w:sz w:val="20"/>
          <w:szCs w:val="20"/>
        </w:rPr>
        <w:t xml:space="preserve">proposed_po_v — replenishable items in demand_base, positions from fact_inventory_daily (snapshot 2026-07-13), safety stock from store_sku_params, horizon buckets from demand_forecast, lead time/MOQ from vendor_lead_times.</w:t>
      </w:r>
    </w:p>
    <w:p>
      <w:pPr>
        <w:pStyle w:val="Heading2"/>
        <w:spacing w:after="60" w:before="220"/>
      </w:pPr>
      <w:r>
        <w:rPr>
          <w:color w:val="2E5BFF"/>
        </w:rPr>
        <w:t xml:space="preserve">Sales by size vs forecast by size (bar + curve overlay)</w:t>
      </w:r>
    </w:p>
    <w:p>
      <w:pPr>
        <w:spacing w:after="40" w:before="40"/>
        <w:jc w:val="center"/>
      </w:pPr>
      <w:r>
        <w:drawing>
          <wp:inline distT="0" distB="0" distL="0" distR="0">
            <wp:extent cx="6096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7907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The size-run conversation: are we selling the sizes the curve says we should? Red size labels are meat sizes. The callout line under the chart names sizes selling meaningfully over or under forecast — over-forecast selling in a meat size is tomorrow's broken run.</w:t>
      </w:r>
    </w:p>
    <w:p>
      <w:pPr>
        <w:spacing w:after="80"/>
        <w:ind w:left="200"/>
      </w:pPr>
      <w:r>
        <w:rPr>
          <w:b/>
          <w:bCs/>
          <w:color w:val="1F2A44"/>
          <w:sz w:val="20"/>
          <w:szCs w:val="20"/>
        </w:rPr>
        <w:t xml:space="preserve">Logic —  </w:t>
      </w:r>
      <w:r>
        <w:rPr>
          <w:sz w:val="20"/>
          <w:szCs w:val="20"/>
        </w:rPr>
        <w:t xml:space="preserve">Average weekly actual units (last 8 weeks) vs the model's weekly forecast per size, with the size-curve's expected share scaled to the actual total and drawn as the orange line. Sizes &gt;125% of forecast are flagged over; &lt;75% under.</w:t>
      </w:r>
    </w:p>
    <w:p>
      <w:pPr>
        <w:spacing w:after="80"/>
        <w:ind w:left="200"/>
      </w:pPr>
      <w:r>
        <w:rPr>
          <w:b/>
          <w:bCs/>
          <w:color w:val="1F2A44"/>
          <w:sz w:val="20"/>
          <w:szCs w:val="20"/>
        </w:rPr>
        <w:t xml:space="preserve">Data —  </w:t>
      </w:r>
      <w:r>
        <w:rPr>
          <w:sz w:val="20"/>
          <w:szCs w:val="20"/>
        </w:rPr>
        <w:t xml:space="preserve">size_demand_v — fact_sales_daily (8 weeks) and demand_forecast aggregated by store/category/brand/size, joined to size_curves for expected share and meat-size flags.</w:t>
      </w:r>
    </w:p>
    <w:p>
      <w:r>
        <w:br w:type="page"/>
      </w:r>
    </w:p>
    <w:p>
      <w:pPr>
        <w:pStyle w:val="Heading1"/>
        <w:spacing w:after="120" w:before="300"/>
      </w:pPr>
      <w:r>
        <w:rPr>
          <w:color w:val="1F2A44"/>
        </w:rPr>
        <w:t xml:space="preserve">Module 3 — Purchase Planning &amp; Replenishment</w:t>
      </w:r>
    </w:p>
    <w:p>
      <w:pPr>
        <w:spacing w:after="160"/>
      </w:pPr>
      <w:r>
        <w:rPr>
          <w:i/>
          <w:iCs/>
          <w:color w:val="5A6880"/>
          <w:sz w:val="21"/>
          <w:szCs w:val="21"/>
        </w:rPr>
        <w:t xml:space="preserve">Continuous replenishment review: what the engine wants to do (the queue), where the network is off plan (the map), and the evidence that lead times — not demand — are the root cause of most stockouts.</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Concepts to know: </w:t>
            </w:r>
            <w:r>
              <w:rPr>
                <w:sz w:val="19"/>
                <w:szCs w:val="19"/>
              </w:rPr>
              <w:t xml:space="preserve">Replenishment = automatically re-buying core items as they sell, usually via a reorder point (ROP): when projected stock crosses a threshold, the system suggests an order. A 'size run' is the set of sizes a store carries for one style/color; a run is 'broken' when sizes are missing — customers walk when their size is gone even if the rack looks full. 'Transfer-first' means moving stock from an overstocked sister store before buying new. P50/P90 lead times = the median and the 90th-percentile (bad-day) observed delivery times.</w:t>
            </w:r>
          </w:p>
          <w:p>
            <w:pPr>
              <w:spacing w:after="80"/>
            </w:pPr>
            <w:r>
              <w:rPr>
                <w:b/>
                <w:bCs/>
                <w:color w:val="1F2A44"/>
                <w:sz w:val="19"/>
                <w:szCs w:val="19"/>
              </w:rPr>
              <w:t xml:space="preserve">Client need: </w:t>
            </w:r>
            <w:r>
              <w:rPr>
                <w:sz w:val="19"/>
                <w:szCs w:val="19"/>
              </w:rPr>
              <w:t xml:space="preserve">Replenishment is 80% of WorkWorld's volume and today it's memory and spreadsheets. Their real killer is invisible: quoted vendor lead times are fiction, so orders placed 'on time' by the quote arrive late, and core sizes break. The two lead-time charts exist to prove this with data, because it's the claim buyers push back on hardest.</w:t>
            </w:r>
          </w:p>
          <w:p>
            <w:pPr>
              <w:spacing w:after="80"/>
            </w:pPr>
            <w:r>
              <w:rPr>
                <w:b/>
                <w:bCs/>
                <w:color w:val="1F2A44"/>
                <w:sz w:val="19"/>
                <w:szCs w:val="19"/>
              </w:rPr>
              <w:t xml:space="preserve">What to internalize: </w:t>
            </w:r>
            <w:r>
              <w:rPr>
                <w:sz w:val="19"/>
                <w:szCs w:val="19"/>
              </w:rPr>
              <w:t xml:space="preserve">The engine's actions are deliberately conservative — it suggests, a buyer approves. When demoing, click a red store on the map; the drill-down making variance concrete ("this store, this brand, these sizes") is what sticks.</w:t>
            </w:r>
          </w:p>
        </w:tc>
      </w:tr>
    </w:tbl>
    <w:p>
      <w:pPr>
        <w:spacing w:after="120"/>
      </w:pPr>
    </w:p>
    <w:p>
      <w:pPr>
        <w:pStyle w:val="Heading2"/>
        <w:spacing w:after="60" w:before="220"/>
      </w:pPr>
      <w:r>
        <w:rPr>
          <w:color w:val="2E5BFF"/>
        </w:rPr>
        <w:t xml:space="preserve">Queue KPIs (by action)</w:t>
      </w:r>
    </w:p>
    <w:p>
      <w:pPr>
        <w:spacing w:after="80"/>
        <w:ind w:left="200"/>
      </w:pPr>
      <w:r>
        <w:rPr>
          <w:b/>
          <w:bCs/>
          <w:color w:val="1F2A44"/>
          <w:sz w:val="20"/>
          <w:szCs w:val="20"/>
        </w:rPr>
        <w:t xml:space="preserve">Purpose —  </w:t>
      </w:r>
      <w:r>
        <w:rPr>
          <w:sz w:val="20"/>
          <w:szCs w:val="20"/>
        </w:rPr>
        <w:t xml:space="preserve">How many suggestions the engine is holding right now, split by what it wants to do: Order, TransferFirst (move stock from a sister store before buying), ExpediteCheck, Hold. Transfer-first is the money line — it avoids buying inventory the network already owns.</w:t>
      </w:r>
    </w:p>
    <w:p>
      <w:pPr>
        <w:spacing w:after="80"/>
        <w:ind w:left="200"/>
      </w:pPr>
      <w:r>
        <w:rPr>
          <w:b/>
          <w:bCs/>
          <w:color w:val="1F2A44"/>
          <w:sz w:val="20"/>
          <w:szCs w:val="20"/>
        </w:rPr>
        <w:t xml:space="preserve">Logic —  </w:t>
      </w:r>
      <w:r>
        <w:rPr>
          <w:sz w:val="20"/>
          <w:szCs w:val="20"/>
        </w:rPr>
        <w:t xml:space="preserve">A count of open engine suggestions grouped by action type.</w:t>
      </w:r>
    </w:p>
    <w:p>
      <w:pPr>
        <w:spacing w:after="80"/>
        <w:ind w:left="200"/>
      </w:pPr>
      <w:r>
        <w:rPr>
          <w:b/>
          <w:bCs/>
          <w:color w:val="1F2A44"/>
          <w:sz w:val="20"/>
          <w:szCs w:val="20"/>
        </w:rPr>
        <w:t xml:space="preserve">Data —  </w:t>
      </w:r>
      <w:r>
        <w:rPr>
          <w:sz w:val="20"/>
          <w:szCs w:val="20"/>
        </w:rPr>
        <w:t xml:space="preserve">replen_queue_v — replen_suggestions joined to dim_store, item attributes from demand_base, vendor from dim_vendor.</w:t>
      </w:r>
    </w:p>
    <w:p>
      <w:pPr>
        <w:pStyle w:val="Heading2"/>
        <w:spacing w:after="60" w:before="220"/>
      </w:pPr>
      <w:r>
        <w:rPr>
          <w:color w:val="2E5BFF"/>
        </w:rPr>
        <w:t xml:space="preserve">Network variance map (interactive bubble map)</w:t>
      </w:r>
    </w:p>
    <w:p>
      <w:pPr>
        <w:spacing w:after="40" w:before="40"/>
        <w:jc w:val="center"/>
      </w:pPr>
      <w:r>
        <w:drawing>
          <wp:inline distT="0" distB="0" distL="0" distR="0">
            <wp:extent cx="3810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514725"/>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All stores on a west-coast map. Pick a metric — sales vs plan variance, stockout positions, meat-size breaks, or lost sales dollars — and slice by category/brand/size. Bubble size = magnitude; green is over plan, red under. Click any store and the right panel breaks its variance down. This is the DM's Monday-morning view.</w:t>
      </w:r>
    </w:p>
    <w:p>
      <w:pPr>
        <w:spacing w:after="80"/>
        <w:ind w:left="200"/>
      </w:pPr>
      <w:r>
        <w:rPr>
          <w:b/>
          <w:bCs/>
          <w:color w:val="1F2A44"/>
          <w:sz w:val="20"/>
          <w:szCs w:val="20"/>
        </w:rPr>
        <w:t xml:space="preserve">Logic —  </w:t>
      </w:r>
      <w:r>
        <w:rPr>
          <w:sz w:val="20"/>
          <w:szCs w:val="20"/>
        </w:rPr>
        <w:t xml:space="preserve">Actual units are the last 8 weeks of POS. Expected units = each item's baseline daily rate × 56 days × the seasonality index for May–July. Variance % compares the two. Stockouts and meat breaks come from the current inventory snapshot; lost sales dollars from modeled stockout events.</w:t>
      </w:r>
    </w:p>
    <w:p>
      <w:pPr>
        <w:spacing w:after="80"/>
        <w:ind w:left="200"/>
      </w:pPr>
      <w:r>
        <w:rPr>
          <w:b/>
          <w:bCs/>
          <w:color w:val="1F2A44"/>
          <w:sz w:val="20"/>
          <w:szCs w:val="20"/>
        </w:rPr>
        <w:t xml:space="preserve">Data —  </w:t>
      </w:r>
      <w:r>
        <w:rPr>
          <w:sz w:val="20"/>
          <w:szCs w:val="20"/>
        </w:rPr>
        <w:t xml:space="preserve">store_variance_v — fact_sales_daily vs demand_base × seasonality_curves for the plan, fact_inventory_daily for outs, stockout_events for lost dollars, dim_store for names and coordinates. The map itself is drawn in-app (SVG) from store latitude/longitude.</w:t>
      </w:r>
    </w:p>
    <w:p>
      <w:pPr>
        <w:pStyle w:val="Heading2"/>
        <w:spacing w:after="60" w:before="220"/>
      </w:pPr>
      <w:r>
        <w:rPr>
          <w:color w:val="2E5BFF"/>
        </w:rPr>
        <w:t xml:space="preserve">Receipt date variance — every PO receipt, 12 months (scatter)</w:t>
      </w:r>
    </w:p>
    <w:p>
      <w:pPr>
        <w:spacing w:after="40" w:before="40"/>
        <w:jc w:val="center"/>
      </w:pPr>
      <w:r>
        <w:drawing>
          <wp:inline distT="0" distB="0" distL="0" distR="0">
            <wp:extent cx="52673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67325" cy="2667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Every dot is a real receipt plotted as days late (above the line) or early (below) versus the vendor's quoted lead time, colored by vendor. The visual argument: the cloud sits above the line — quoted lead times are systematically optimistic, and that drift is the lead-time forecasting problem.</w:t>
      </w:r>
    </w:p>
    <w:p>
      <w:pPr>
        <w:spacing w:after="80"/>
        <w:ind w:left="200"/>
      </w:pPr>
      <w:r>
        <w:rPr>
          <w:b/>
          <w:bCs/>
          <w:color w:val="1F2A44"/>
          <w:sz w:val="20"/>
          <w:szCs w:val="20"/>
        </w:rPr>
        <w:t xml:space="preserve">Logic —  </w:t>
      </w:r>
      <w:r>
        <w:rPr>
          <w:sz w:val="20"/>
          <w:szCs w:val="20"/>
        </w:rPr>
        <w:t xml:space="preserve">Days late = (received date − order date) − quoted lead days, per receipt.</w:t>
      </w:r>
    </w:p>
    <w:p>
      <w:pPr>
        <w:spacing w:after="80"/>
        <w:ind w:left="200"/>
      </w:pPr>
      <w:r>
        <w:rPr>
          <w:b/>
          <w:bCs/>
          <w:color w:val="1F2A44"/>
          <w:sz w:val="20"/>
          <w:szCs w:val="20"/>
        </w:rPr>
        <w:t xml:space="preserve">Data —  </w:t>
      </w:r>
      <w:r>
        <w:rPr>
          <w:sz w:val="20"/>
          <w:szCs w:val="20"/>
        </w:rPr>
        <w:t xml:space="preserve">lead_time_variance_v — receiver_header joined to po_header and vendor_lead_times (quoted; 21-day default).</w:t>
      </w:r>
    </w:p>
    <w:p>
      <w:pPr>
        <w:pStyle w:val="Heading2"/>
        <w:spacing w:after="60" w:before="220"/>
      </w:pPr>
      <w:r>
        <w:rPr>
          <w:color w:val="2E5BFF"/>
        </w:rPr>
        <w:t xml:space="preserve">Quoted vs actual lead time by vendor (bar)</w:t>
      </w:r>
    </w:p>
    <w:p>
      <w:pPr>
        <w:spacing w:after="40" w:before="40"/>
        <w:jc w:val="center"/>
      </w:pPr>
      <w:r>
        <w:drawing>
          <wp:inline distT="0" distB="0" distL="0" distR="0">
            <wp:extent cx="52673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67325" cy="2667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The same evidence summarized for decision-making: for each vendor, the lead time we plan with today vs what actually happens at the median (P50) and the bad-day case (P90). Punchline: planning at quoted lead time is planning to stock out; the engine plans at P50 and carries P90 as safety.</w:t>
      </w:r>
    </w:p>
    <w:p>
      <w:pPr>
        <w:spacing w:after="80"/>
        <w:ind w:left="200"/>
      </w:pPr>
      <w:r>
        <w:rPr>
          <w:b/>
          <w:bCs/>
          <w:color w:val="1F2A44"/>
          <w:sz w:val="20"/>
          <w:szCs w:val="20"/>
        </w:rPr>
        <w:t xml:space="preserve">Logic —  </w:t>
      </w:r>
      <w:r>
        <w:rPr>
          <w:sz w:val="20"/>
          <w:szCs w:val="20"/>
        </w:rPr>
        <w:t xml:space="preserve">P50/P90 computed from each vendor's actual receipt history in the view; quoted comes from the vendor master.</w:t>
      </w:r>
    </w:p>
    <w:p>
      <w:pPr>
        <w:spacing w:after="80"/>
        <w:ind w:left="200"/>
      </w:pPr>
      <w:r>
        <w:rPr>
          <w:b/>
          <w:bCs/>
          <w:color w:val="1F2A44"/>
          <w:sz w:val="20"/>
          <w:szCs w:val="20"/>
        </w:rPr>
        <w:t xml:space="preserve">Data —  </w:t>
      </w:r>
      <w:r>
        <w:rPr>
          <w:sz w:val="20"/>
          <w:szCs w:val="20"/>
        </w:rPr>
        <w:t xml:space="preserve">lead_time_variance_v — percentiles computed in the app from the per-receipt rows.</w:t>
      </w:r>
    </w:p>
    <w:p>
      <w:pPr>
        <w:pStyle w:val="Heading2"/>
        <w:spacing w:after="60" w:before="220"/>
      </w:pPr>
      <w:r>
        <w:rPr>
          <w:color w:val="2E5BFF"/>
        </w:rPr>
        <w:t xml:space="preserve">Size-run health by store (stacked bar)</w:t>
      </w:r>
    </w:p>
    <w:p>
      <w:pPr>
        <w:spacing w:after="40" w:before="40"/>
        <w:jc w:val="center"/>
      </w:pPr>
      <w:r>
        <w:drawing>
          <wp:inline distT="0" distB="0" distL="0" distR="0">
            <wp:extent cx="52673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67325" cy="2667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Style/color size runs per store classified Intact (green), FringeBreak (orange — an edge size is out), or MeatBreak (red — a core size is out). Ties the size-curve story to a store-level action list.</w:t>
      </w:r>
    </w:p>
    <w:p>
      <w:pPr>
        <w:spacing w:after="80"/>
        <w:ind w:left="200"/>
      </w:pPr>
      <w:r>
        <w:rPr>
          <w:b/>
          <w:bCs/>
          <w:color w:val="1F2A44"/>
          <w:sz w:val="20"/>
          <w:szCs w:val="20"/>
        </w:rPr>
        <w:t xml:space="preserve">Logic —  </w:t>
      </w:r>
      <w:r>
        <w:rPr>
          <w:sz w:val="20"/>
          <w:szCs w:val="20"/>
        </w:rPr>
        <w:t xml:space="preserve">For each store × style/color: count sizes carried, sizes at zero on-hand, and whether any zero is a meat size; classify accordingly.</w:t>
      </w:r>
    </w:p>
    <w:p>
      <w:pPr>
        <w:spacing w:after="80"/>
        <w:ind w:left="200"/>
      </w:pPr>
      <w:r>
        <w:rPr>
          <w:b/>
          <w:bCs/>
          <w:color w:val="1F2A44"/>
          <w:sz w:val="20"/>
          <w:szCs w:val="20"/>
        </w:rPr>
        <w:t xml:space="preserve">Data —  </w:t>
      </w:r>
      <w:r>
        <w:rPr>
          <w:sz w:val="20"/>
          <w:szCs w:val="20"/>
        </w:rPr>
        <w:t xml:space="preserve">size_run_health_v — fact_inventory_daily (snapshot 2026-07-13) × demand_base × size_curves.</w:t>
      </w:r>
    </w:p>
    <w:p>
      <w:pPr>
        <w:pStyle w:val="Heading2"/>
        <w:spacing w:after="60" w:before="220"/>
      </w:pPr>
      <w:r>
        <w:rPr>
          <w:color w:val="2E5BFF"/>
        </w:rPr>
        <w:t xml:space="preserve">Suggestion queue — most urgent (table)</w:t>
      </w:r>
    </w:p>
    <w:p>
      <w:pPr>
        <w:spacing w:after="80"/>
        <w:ind w:left="200"/>
      </w:pPr>
      <w:r>
        <w:rPr>
          <w:b/>
          <w:bCs/>
          <w:color w:val="1F2A44"/>
          <w:sz w:val="20"/>
          <w:szCs w:val="20"/>
        </w:rPr>
        <w:t xml:space="preserve">Purpose —  </w:t>
      </w:r>
      <w:r>
        <w:rPr>
          <w:sz w:val="20"/>
          <w:szCs w:val="20"/>
        </w:rPr>
        <w:t xml:space="preserve">The engine's to-do list ordered by projected stockout date, with the suggested action, quantity, and reason — including tier-break notes when consolidating an order would hit a better price bracket.</w:t>
      </w:r>
    </w:p>
    <w:p>
      <w:pPr>
        <w:spacing w:after="80"/>
        <w:ind w:left="200"/>
      </w:pPr>
      <w:r>
        <w:rPr>
          <w:b/>
          <w:bCs/>
          <w:color w:val="1F2A44"/>
          <w:sz w:val="20"/>
          <w:szCs w:val="20"/>
        </w:rPr>
        <w:t xml:space="preserve">Logic —  </w:t>
      </w:r>
      <w:r>
        <w:rPr>
          <w:sz w:val="20"/>
          <w:szCs w:val="20"/>
        </w:rPr>
        <w:t xml:space="preserve">Open suggestions sorted by days-to-stockout (projected stockout date minus today).</w:t>
      </w:r>
    </w:p>
    <w:p>
      <w:pPr>
        <w:spacing w:after="80"/>
        <w:ind w:left="200"/>
      </w:pPr>
      <w:r>
        <w:rPr>
          <w:b/>
          <w:bCs/>
          <w:color w:val="1F2A44"/>
          <w:sz w:val="20"/>
          <w:szCs w:val="20"/>
        </w:rPr>
        <w:t xml:space="preserve">Data —  </w:t>
      </w:r>
      <w:r>
        <w:rPr>
          <w:sz w:val="20"/>
          <w:szCs w:val="20"/>
        </w:rPr>
        <w:t xml:space="preserve">replen_queue_v — replen_suggestions enriched with item, store, and vendor attributes.</w:t>
      </w:r>
    </w:p>
    <w:p>
      <w:r>
        <w:br w:type="page"/>
      </w:r>
    </w:p>
    <w:p>
      <w:pPr>
        <w:pStyle w:val="Heading1"/>
        <w:spacing w:after="120" w:before="300"/>
      </w:pPr>
      <w:r>
        <w:rPr>
          <w:color w:val="1F2A44"/>
        </w:rPr>
        <w:t xml:space="preserve">Module 4 — Vendor Availability (ATS)</w:t>
      </w:r>
    </w:p>
    <w:p>
      <w:pPr>
        <w:spacing w:after="160"/>
      </w:pPr>
      <w:r>
        <w:rPr>
          <w:i/>
          <w:iCs/>
          <w:color w:val="5A6880"/>
          <w:sz w:val="21"/>
          <w:szCs w:val="21"/>
        </w:rPr>
        <w:t xml:space="preserve">You can't plan around what a vendor can't ship. This module tracks what each vendor reports as available-to-sell and — just as important — how much of it we can actually use, via the item cross-reference match rate.</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Concepts to know: </w:t>
            </w:r>
            <w:r>
              <w:rPr>
                <w:sz w:val="19"/>
                <w:szCs w:val="19"/>
              </w:rPr>
              <w:t xml:space="preserve">ATS = available to sell: the inventory a vendor can actually ship you right now. EDI 846 is the standard electronic 'inventory advice' document sophisticated vendors transmit; smaller vendors post spreadsheets on portals or email them. An item cross-reference (crossref) maps each vendor's SKU numbering to ours — without a match, a vendor's availability row is useless to the planning engine.</w:t>
            </w:r>
          </w:p>
          <w:p>
            <w:pPr>
              <w:spacing w:after="80"/>
            </w:pPr>
            <w:r>
              <w:rPr>
                <w:b/>
                <w:bCs/>
                <w:color w:val="1F2A44"/>
                <w:sz w:val="19"/>
                <w:szCs w:val="19"/>
              </w:rPr>
              <w:t xml:space="preserve">Client need: </w:t>
            </w:r>
            <w:r>
              <w:rPr>
                <w:sz w:val="19"/>
                <w:szCs w:val="19"/>
              </w:rPr>
              <w:t xml:space="preserve">WorkWorld orders into vendor stockouts today and finds out weeks later via short shipments. Even partial ATS visibility (their two biggest vendors are EDI-capable) prevents the worst of it. The crossref match rate doubles as an implementation health metric — it's the unglamorous data work that makes the shiny modules trustworthy.</w:t>
            </w:r>
          </w:p>
          <w:p>
            <w:pPr>
              <w:spacing w:after="80"/>
            </w:pPr>
            <w:r>
              <w:rPr>
                <w:b/>
                <w:bCs/>
                <w:color w:val="1F2A44"/>
                <w:sz w:val="19"/>
                <w:szCs w:val="19"/>
              </w:rPr>
              <w:t xml:space="preserve">What to internalize: </w:t>
            </w:r>
            <w:r>
              <w:rPr>
                <w:sz w:val="19"/>
                <w:szCs w:val="19"/>
              </w:rPr>
              <w:t xml:space="preserve">The tiering (A: EDI / B: portal / C: parsed email) is our standard vendor-integration playbook and a realistic rollout promise — lead with honesty here; it builds trust for the bigger claims elsewhere.</w:t>
            </w:r>
          </w:p>
        </w:tc>
      </w:tr>
    </w:tbl>
    <w:p>
      <w:pPr>
        <w:spacing w:after="120"/>
      </w:pPr>
    </w:p>
    <w:p>
      <w:pPr>
        <w:pStyle w:val="Heading2"/>
        <w:spacing w:after="60" w:before="220"/>
      </w:pPr>
      <w:r>
        <w:rPr>
          <w:color w:val="2E5BFF"/>
        </w:rPr>
        <w:t xml:space="preserve">Coverage by vendor — latest snapshot (table)</w:t>
      </w:r>
    </w:p>
    <w:p>
      <w:pPr>
        <w:spacing w:after="80"/>
        <w:ind w:left="200"/>
      </w:pPr>
      <w:r>
        <w:rPr>
          <w:b/>
          <w:bCs/>
          <w:color w:val="1F2A44"/>
          <w:sz w:val="20"/>
          <w:szCs w:val="20"/>
        </w:rPr>
        <w:t xml:space="preserve">Purpose —  </w:t>
      </w:r>
      <w:r>
        <w:rPr>
          <w:sz w:val="20"/>
          <w:szCs w:val="20"/>
        </w:rPr>
        <w:t xml:space="preserve">Per vendor: how they report availability (EDI 846 for Tier A, portal pulls for Tier B, parsed email for Tier C), how many items they reported, and the crossref match rate — the health metric, because an unmatched vendor SKU can't inform ordering. Zero-ATS counts warn of items we may be counting on that the vendor can't ship.</w:t>
      </w:r>
    </w:p>
    <w:p>
      <w:pPr>
        <w:spacing w:after="80"/>
        <w:ind w:left="200"/>
      </w:pPr>
      <w:r>
        <w:rPr>
          <w:b/>
          <w:bCs/>
          <w:color w:val="1F2A44"/>
          <w:sz w:val="20"/>
          <w:szCs w:val="20"/>
        </w:rPr>
        <w:t xml:space="preserve">Logic —  </w:t>
      </w:r>
      <w:r>
        <w:rPr>
          <w:sz w:val="20"/>
          <w:szCs w:val="20"/>
        </w:rPr>
        <w:t xml:space="preserve">Counts from the latest vendor ATS snapshot; matched = vendor items that resolved to an internal SKU through the cross-reference; match rate = matched ÷ reported.</w:t>
      </w:r>
    </w:p>
    <w:p>
      <w:pPr>
        <w:spacing w:after="80"/>
        <w:ind w:left="200"/>
      </w:pPr>
      <w:r>
        <w:rPr>
          <w:b/>
          <w:bCs/>
          <w:color w:val="1F2A44"/>
          <w:sz w:val="20"/>
          <w:szCs w:val="20"/>
        </w:rPr>
        <w:t xml:space="preserve">Data —  </w:t>
      </w:r>
      <w:r>
        <w:rPr>
          <w:sz w:val="20"/>
          <w:szCs w:val="20"/>
        </w:rPr>
        <w:t xml:space="preserve">ats_coverage_v — vendor_ats (snapshot 2026-07-13) joined to dim_vendor; matching depends on item_crossref maintenance (a Data Health theme).</w:t>
      </w:r>
    </w:p>
    <w:p>
      <w:pPr>
        <w:pStyle w:val="Heading2"/>
        <w:spacing w:after="60" w:before="220"/>
      </w:pPr>
      <w:r>
        <w:rPr>
          <w:color w:val="2E5BFF"/>
        </w:rPr>
        <w:t xml:space="preserve">Acquisition plan (static card)</w:t>
      </w:r>
    </w:p>
    <w:p>
      <w:pPr>
        <w:spacing w:after="80"/>
        <w:ind w:left="200"/>
      </w:pPr>
      <w:r>
        <w:rPr>
          <w:b/>
          <w:bCs/>
          <w:color w:val="1F2A44"/>
          <w:sz w:val="20"/>
          <w:szCs w:val="20"/>
        </w:rPr>
        <w:t xml:space="preserve">Purpose —  </w:t>
      </w:r>
      <w:r>
        <w:rPr>
          <w:sz w:val="20"/>
          <w:szCs w:val="20"/>
        </w:rPr>
        <w:t xml:space="preserve">The rollout honesty slide: Tier A (Carhartt, Wolverine) is live over the existing SPS Commerce EDI pipe; Tier B portals arrive in Phase 2 via credentialed downloads/RPA; Tier C stays opportunistic — parsed email sheets with human confirmation.</w:t>
      </w:r>
    </w:p>
    <w:p>
      <w:pPr>
        <w:spacing w:after="80"/>
        <w:ind w:left="200"/>
      </w:pPr>
      <w:r>
        <w:rPr>
          <w:b/>
          <w:bCs/>
          <w:color w:val="1F2A44"/>
          <w:sz w:val="20"/>
          <w:szCs w:val="20"/>
        </w:rPr>
        <w:t xml:space="preserve">Logic —  </w:t>
      </w:r>
      <w:r>
        <w:rPr>
          <w:sz w:val="20"/>
          <w:szCs w:val="20"/>
        </w:rPr>
        <w:t xml:space="preserve">Static content — a plan, not a query.</w:t>
      </w:r>
    </w:p>
    <w:p>
      <w:pPr>
        <w:spacing w:after="80"/>
        <w:ind w:left="200"/>
      </w:pPr>
      <w:r>
        <w:rPr>
          <w:b/>
          <w:bCs/>
          <w:color w:val="1F2A44"/>
          <w:sz w:val="20"/>
          <w:szCs w:val="20"/>
        </w:rPr>
        <w:t xml:space="preserve">Data —  </w:t>
      </w:r>
      <w:r>
        <w:rPr>
          <w:sz w:val="20"/>
          <w:szCs w:val="20"/>
        </w:rPr>
        <w:t xml:space="preserve">None (narrative card).</w:t>
      </w:r>
    </w:p>
    <w:p>
      <w:r>
        <w:br w:type="page"/>
      </w:r>
    </w:p>
    <w:p>
      <w:pPr>
        <w:pStyle w:val="Heading1"/>
        <w:spacing w:after="120" w:before="300"/>
      </w:pPr>
      <w:r>
        <w:rPr>
          <w:color w:val="1F2A44"/>
        </w:rPr>
        <w:t xml:space="preserve">Module 5 — Vendor Programs &amp; Opportunity Buys</w:t>
      </w:r>
    </w:p>
    <w:p>
      <w:pPr>
        <w:spacing w:after="160"/>
      </w:pPr>
      <w:r>
        <w:rPr>
          <w:i/>
          <w:iCs/>
          <w:color w:val="5A6880"/>
          <w:sz w:val="21"/>
          <w:szCs w:val="21"/>
        </w:rPr>
        <w:t xml:space="preserve">Closeouts, tier breaks, SMUs, preseason books — offers with deadlines. Each is scored so the buyer weighs the margin uplift against the real cost of an opportunity buy: weeks of supply and broken-run risk.</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Concepts to know: </w:t>
            </w:r>
            <w:r>
              <w:rPr>
                <w:sz w:val="19"/>
                <w:szCs w:val="19"/>
              </w:rPr>
              <w:t xml:space="preserve">An opportunity buy is inventory bought because the deal is good, not because demand asked for it: closeouts (vendor clearing discontinued goods), tier breaks (order 288 units instead of 250 and the whole order gets a lower price bracket), SMUs (special make-ups — product made exclusively for you), preseason books (order early, pay less). Weeks of supply (WOS) = how long the committed quantity lasts at current selling rate — the standard overstock risk measure.</w:t>
            </w:r>
          </w:p>
          <w:p>
            <w:pPr>
              <w:spacing w:after="80"/>
            </w:pPr>
            <w:r>
              <w:rPr>
                <w:b/>
                <w:bCs/>
                <w:color w:val="1F2A44"/>
                <w:sz w:val="19"/>
                <w:szCs w:val="19"/>
              </w:rPr>
              <w:t xml:space="preserve">Client need: </w:t>
            </w:r>
            <w:r>
              <w:rPr>
                <w:sz w:val="19"/>
                <w:szCs w:val="19"/>
              </w:rPr>
              <w:t xml:space="preserve">Vendor reps constantly dangle deals and today WorkWorld decides on gut feel. The trap: a 20% discount that leaves 30 weeks of supply becomes a markdown problem that eats the discount twice over. The client knows they've been burned this way; this module gives the gut feel a denominator.</w:t>
            </w:r>
          </w:p>
          <w:p>
            <w:pPr>
              <w:spacing w:after="80"/>
            </w:pPr>
            <w:r>
              <w:rPr>
                <w:b/>
                <w:bCs/>
                <w:color w:val="1F2A44"/>
                <w:sz w:val="19"/>
                <w:szCs w:val="19"/>
              </w:rPr>
              <w:t xml:space="preserve">What to internalize: </w:t>
            </w:r>
            <w:r>
              <w:rPr>
                <w:sz w:val="19"/>
                <w:szCs w:val="19"/>
              </w:rPr>
              <w:t xml:space="preserve">This is the smallest module but often the most persuasive to owners — it's directly about cash. The AI recommendation column is a good place to explain our AI posture: the machine drafts the reasoning, a named human accepts or declines.</w:t>
            </w:r>
          </w:p>
        </w:tc>
      </w:tr>
    </w:tbl>
    <w:p>
      <w:pPr>
        <w:spacing w:after="120"/>
      </w:pPr>
    </w:p>
    <w:p>
      <w:pPr>
        <w:pStyle w:val="Heading2"/>
        <w:spacing w:after="60" w:before="220"/>
      </w:pPr>
      <w:r>
        <w:rPr>
          <w:color w:val="2E5BFF"/>
        </w:rPr>
        <w:t xml:space="preserve">Deal KPIs</w:t>
      </w:r>
    </w:p>
    <w:p>
      <w:pPr>
        <w:spacing w:after="80"/>
        <w:ind w:left="200"/>
      </w:pPr>
      <w:r>
        <w:rPr>
          <w:b/>
          <w:bCs/>
          <w:color w:val="1F2A44"/>
          <w:sz w:val="20"/>
          <w:szCs w:val="20"/>
        </w:rPr>
        <w:t xml:space="preserve">Purpose —  </w:t>
      </w:r>
      <w:r>
        <w:rPr>
          <w:sz w:val="20"/>
          <w:szCs w:val="20"/>
        </w:rPr>
        <w:t xml:space="preserve">Open offers awaiting a decision, total savings if all were committed, and how many expire within a week — urgency, quantified.</w:t>
      </w:r>
    </w:p>
    <w:p>
      <w:pPr>
        <w:spacing w:after="80"/>
        <w:ind w:left="200"/>
      </w:pPr>
      <w:r>
        <w:rPr>
          <w:b/>
          <w:bCs/>
          <w:color w:val="1F2A44"/>
          <w:sz w:val="20"/>
          <w:szCs w:val="20"/>
        </w:rPr>
        <w:t xml:space="preserve">Logic —  </w:t>
      </w:r>
      <w:r>
        <w:rPr>
          <w:sz w:val="20"/>
          <w:szCs w:val="20"/>
        </w:rPr>
        <w:t xml:space="preserve">Counts and sums over open offers; savings at commit = (base cost − offer cost) × commit quantity.</w:t>
      </w:r>
    </w:p>
    <w:p>
      <w:pPr>
        <w:spacing w:after="80"/>
        <w:ind w:left="200"/>
      </w:pPr>
      <w:r>
        <w:rPr>
          <w:b/>
          <w:bCs/>
          <w:color w:val="1F2A44"/>
          <w:sz w:val="20"/>
          <w:szCs w:val="20"/>
        </w:rPr>
        <w:t xml:space="preserve">Data —  </w:t>
      </w:r>
      <w:r>
        <w:rPr>
          <w:sz w:val="20"/>
          <w:szCs w:val="20"/>
        </w:rPr>
        <w:t xml:space="preserve">deal_pipeline_v — vendor_promo_opportunities joined to dim_vendor.</w:t>
      </w:r>
    </w:p>
    <w:p>
      <w:pPr>
        <w:pStyle w:val="Heading2"/>
        <w:spacing w:after="60" w:before="220"/>
      </w:pPr>
      <w:r>
        <w:rPr>
          <w:color w:val="2E5BFF"/>
        </w:rPr>
        <w:t xml:space="preserve">Deal pipeline (table)</w:t>
      </w:r>
    </w:p>
    <w:p>
      <w:pPr>
        <w:spacing w:after="80"/>
        <w:ind w:left="200"/>
      </w:pPr>
      <w:r>
        <w:rPr>
          <w:b/>
          <w:bCs/>
          <w:color w:val="1F2A44"/>
          <w:sz w:val="20"/>
          <w:szCs w:val="20"/>
        </w:rPr>
        <w:t xml:space="preserve">Purpose —  </w:t>
      </w:r>
      <w:r>
        <w:rPr>
          <w:sz w:val="20"/>
          <w:szCs w:val="20"/>
        </w:rPr>
        <w:t xml:space="preserve">Every live offer with its economics and an AI recommendation. The teaching point: savings alone don't decide — a 20% closeout that leaves 30 weeks of supply is a markdown problem wearing a discount costume. The AI call weighs uplift against weeks-of-supply.</w:t>
      </w:r>
    </w:p>
    <w:p>
      <w:pPr>
        <w:spacing w:after="80"/>
        <w:ind w:left="200"/>
      </w:pPr>
      <w:r>
        <w:rPr>
          <w:b/>
          <w:bCs/>
          <w:color w:val="1F2A44"/>
          <w:sz w:val="20"/>
          <w:szCs w:val="20"/>
        </w:rPr>
        <w:t xml:space="preserve">Logic —  </w:t>
      </w:r>
      <w:r>
        <w:rPr>
          <w:sz w:val="20"/>
          <w:szCs w:val="20"/>
        </w:rPr>
        <w:t xml:space="preserve">Savings, margin uplift %, and estimated weeks of supply at commit quantity come straight from the offer record; days-to-expiry counts down from the anchor date.</w:t>
      </w:r>
    </w:p>
    <w:p>
      <w:pPr>
        <w:spacing w:after="80"/>
        <w:ind w:left="200"/>
      </w:pPr>
      <w:r>
        <w:rPr>
          <w:b/>
          <w:bCs/>
          <w:color w:val="1F2A44"/>
          <w:sz w:val="20"/>
          <w:szCs w:val="20"/>
        </w:rPr>
        <w:t xml:space="preserve">Data —  </w:t>
      </w:r>
      <w:r>
        <w:rPr>
          <w:sz w:val="20"/>
          <w:szCs w:val="20"/>
        </w:rPr>
        <w:t xml:space="preserve">deal_pipeline_v — vendor_promo_opportunities (including the stored ai_recommendation text) with vendor names from dim_vendor.</w:t>
      </w:r>
    </w:p>
    <w:p>
      <w:r>
        <w:br w:type="page"/>
      </w:r>
    </w:p>
    <w:p>
      <w:pPr>
        <w:pStyle w:val="Heading1"/>
        <w:spacing w:after="120" w:before="300"/>
      </w:pPr>
      <w:r>
        <w:rPr>
          <w:color w:val="1F2A44"/>
        </w:rPr>
        <w:t xml:space="preserve">Module 6 — PO Management &amp; 3-Way Reconciliation</w:t>
      </w:r>
    </w:p>
    <w:p>
      <w:pPr>
        <w:spacing w:after="160"/>
      </w:pPr>
      <w:r>
        <w:rPr>
          <w:i/>
          <w:iCs/>
          <w:color w:val="5A6880"/>
          <w:sz w:val="21"/>
          <w:szCs w:val="21"/>
        </w:rPr>
        <w:t xml:space="preserve">The longest step of the monthly close, turned from a project into a queue. Master PO → per-store mini-POs → store receivers → vendor invoices → master statements, matched at line level nightly.</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Concepts to know: </w:t>
            </w:r>
            <w:r>
              <w:rPr>
                <w:sz w:val="19"/>
                <w:szCs w:val="19"/>
              </w:rPr>
              <w:t xml:space="preserve">3-way match = comparing what was ordered (PO) vs what arrived (receiver) vs what was billed (invoice), line by line; a mismatch is an 'exception' (price variance, short ship, freight surprise). Because vendors ship direct to each of 38 stores, one master PO explodes into 38 mini-POs, 38 receivers, and many invoices rolled into a monthly vendor statement — the document tree. A debit memo is the paper that claws money back from a vendor. EDI 855 is the vendor's order acknowledgment.</w:t>
            </w:r>
          </w:p>
          <w:p>
            <w:pPr>
              <w:spacing w:after="80"/>
            </w:pPr>
            <w:r>
              <w:rPr>
                <w:b/>
                <w:bCs/>
                <w:color w:val="1F2A44"/>
                <w:sz w:val="19"/>
                <w:szCs w:val="19"/>
              </w:rPr>
              <w:t xml:space="preserve">Client need: </w:t>
            </w:r>
            <w:r>
              <w:rPr>
                <w:sz w:val="19"/>
                <w:szCs w:val="19"/>
              </w:rPr>
              <w:t xml:space="preserve">This is WorkWorld's single biggest pain in hours: the bookkeeper reconciles vendor statements against store paperwork manually, and the monthly close drags for weeks. It's also where the money is — unclaimed short-ships and price variances are silent margin leaks. The pitch: the machine matches everything nightly, auto-clears the clean 90%+, and humans work a queue of exceptions with AI-drafted resolutions.</w:t>
            </w:r>
          </w:p>
          <w:p>
            <w:pPr>
              <w:spacing w:after="80"/>
            </w:pPr>
            <w:r>
              <w:rPr>
                <w:b/>
                <w:bCs/>
                <w:color w:val="1F2A44"/>
                <w:sz w:val="19"/>
                <w:szCs w:val="19"/>
              </w:rPr>
              <w:t xml:space="preserve">What to internalize: </w:t>
            </w:r>
            <w:r>
              <w:rPr>
                <w:sz w:val="19"/>
                <w:szCs w:val="19"/>
              </w:rPr>
              <w:t xml:space="preserve">This module wins deals precisely because it's boring — it attacks a cost the client can name in dollars and hours. Learn the document tree cold: master PO → mini-PO → receiver → invoice → statement. If you can walk one buy end-to-end in the explorer without fumbling, you own the room.</w:t>
            </w:r>
          </w:p>
        </w:tc>
      </w:tr>
    </w:tbl>
    <w:p>
      <w:pPr>
        <w:spacing w:after="120"/>
      </w:pPr>
    </w:p>
    <w:p>
      <w:pPr>
        <w:pStyle w:val="Heading2"/>
        <w:spacing w:after="60" w:before="220"/>
      </w:pPr>
      <w:r>
        <w:rPr>
          <w:color w:val="2E5BFF"/>
        </w:rPr>
        <w:t xml:space="preserve">KPI strip</w:t>
      </w:r>
    </w:p>
    <w:p>
      <w:pPr>
        <w:spacing w:after="80"/>
        <w:ind w:left="200"/>
      </w:pPr>
      <w:r>
        <w:rPr>
          <w:b/>
          <w:bCs/>
          <w:color w:val="1F2A44"/>
          <w:sz w:val="20"/>
          <w:szCs w:val="20"/>
        </w:rPr>
        <w:t xml:space="preserve">Purpose —  </w:t>
      </w:r>
      <w:r>
        <w:rPr>
          <w:sz w:val="20"/>
          <w:szCs w:val="20"/>
        </w:rPr>
        <w:t xml:space="preserve">Auto-clear rate (lines needing no human), open exceptions and their dollars, variance recovered over 12 months, open POs (with how many are past requested ship), and statements on payment hold. Together: how much of the close is already done by the machine.</w:t>
      </w:r>
    </w:p>
    <w:p>
      <w:pPr>
        <w:spacing w:after="80"/>
        <w:ind w:left="200"/>
      </w:pPr>
      <w:r>
        <w:rPr>
          <w:b/>
          <w:bCs/>
          <w:color w:val="1F2A44"/>
          <w:sz w:val="20"/>
          <w:szCs w:val="20"/>
        </w:rPr>
        <w:t xml:space="preserve">Logic —  </w:t>
      </w:r>
      <w:r>
        <w:rPr>
          <w:sz w:val="20"/>
          <w:szCs w:val="20"/>
        </w:rPr>
        <w:t xml:space="preserve">Auto-clear = matched lines with no variance ÷ all matched lines. Open PO stats aggregate store-level POs still open, valued at unreceived quantity × cost. A statement is on hold when it still has open exceptions.</w:t>
      </w:r>
    </w:p>
    <w:p>
      <w:pPr>
        <w:spacing w:after="80"/>
        <w:ind w:left="200"/>
      </w:pPr>
      <w:r>
        <w:rPr>
          <w:b/>
          <w:bCs/>
          <w:color w:val="1F2A44"/>
          <w:sz w:val="20"/>
          <w:szCs w:val="20"/>
        </w:rPr>
        <w:t xml:space="preserve">Data —  </w:t>
      </w:r>
      <w:r>
        <w:rPr>
          <w:sz w:val="20"/>
          <w:szCs w:val="20"/>
        </w:rPr>
        <w:t xml:space="preserve">kpi_summary_v, match_trend_v, po_lifecycle_v, statement_recon_v — all ultimately over threeway_match, po_header/po_line, invoice_header.</w:t>
      </w:r>
    </w:p>
    <w:p>
      <w:pPr>
        <w:pStyle w:val="Heading2"/>
        <w:spacing w:after="60" w:before="220"/>
      </w:pPr>
      <w:r>
        <w:rPr>
          <w:color w:val="2E5BFF"/>
        </w:rPr>
        <w:t xml:space="preserve">Document explorer — one vendor buy, end to end</w:t>
      </w:r>
    </w:p>
    <w:p>
      <w:pPr>
        <w:spacing w:after="80"/>
        <w:ind w:left="200"/>
      </w:pPr>
      <w:r>
        <w:rPr>
          <w:b/>
          <w:bCs/>
          <w:color w:val="1F2A44"/>
          <w:sz w:val="20"/>
          <w:szCs w:val="20"/>
        </w:rPr>
        <w:t xml:space="preserve">Purpose —  </w:t>
      </w:r>
      <w:r>
        <w:rPr>
          <w:sz w:val="20"/>
          <w:szCs w:val="20"/>
        </w:rPr>
        <w:t xml:space="preserve">Pick a master PO and walk the whole direct-to-store tree: every mini-PO, its 855 acknowledgment, receipt, invoice, statement, and what the match engine found — clean, resolved, or open exception. This is the demo's "single PO table" answer to the close quagmire: one place where a buy is whole.</w:t>
      </w:r>
    </w:p>
    <w:p>
      <w:pPr>
        <w:spacing w:after="80"/>
        <w:ind w:left="200"/>
      </w:pPr>
      <w:r>
        <w:rPr>
          <w:b/>
          <w:bCs/>
          <w:color w:val="1F2A44"/>
          <w:sz w:val="20"/>
          <w:szCs w:val="20"/>
        </w:rPr>
        <w:t xml:space="preserve">Logic —  </w:t>
      </w:r>
      <w:r>
        <w:rPr>
          <w:sz w:val="20"/>
          <w:szCs w:val="20"/>
        </w:rPr>
        <w:t xml:space="preserve">Store-level POs grouped under their master; line quantities and value rolled up from PO lines; each PO joined to its receiver, invoice, and exception rollup.</w:t>
      </w:r>
    </w:p>
    <w:p>
      <w:pPr>
        <w:spacing w:after="80"/>
        <w:ind w:left="200"/>
      </w:pPr>
      <w:r>
        <w:rPr>
          <w:b/>
          <w:bCs/>
          <w:color w:val="1F2A44"/>
          <w:sz w:val="20"/>
          <w:szCs w:val="20"/>
        </w:rPr>
        <w:t xml:space="preserve">Data —  </w:t>
      </w:r>
      <w:r>
        <w:rPr>
          <w:sz w:val="20"/>
          <w:szCs w:val="20"/>
        </w:rPr>
        <w:t xml:space="preserve">po_document_tree_v — po_header (master + store levels), po_line rollups, receiver_header, invoice_header, threeway_match exception rollups, dim_vendor/dim_store.</w:t>
      </w:r>
    </w:p>
    <w:p>
      <w:pPr>
        <w:pStyle w:val="Heading2"/>
        <w:spacing w:after="60" w:before="220"/>
      </w:pPr>
      <w:r>
        <w:rPr>
          <w:color w:val="2E5BFF"/>
        </w:rPr>
        <w:t xml:space="preserve">Variance identified vs recovered by month (bar + line)</w:t>
      </w:r>
    </w:p>
    <w:p>
      <w:pPr>
        <w:spacing w:after="40" w:before="40"/>
        <w:jc w:val="center"/>
      </w:pPr>
      <w:r>
        <w:drawing>
          <wp:inline distT="0" distB="0" distL="0" distR="0">
            <wp:extent cx="52673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67325" cy="2667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The recovery engine's track record: dollars of variance found, recovered, and still open by month, with the auto-clear rate trending on the right axis. The story is a rising auto-clear line — less human touch every month.</w:t>
      </w:r>
    </w:p>
    <w:p>
      <w:pPr>
        <w:spacing w:after="80"/>
        <w:ind w:left="200"/>
      </w:pPr>
      <w:r>
        <w:rPr>
          <w:b/>
          <w:bCs/>
          <w:color w:val="1F2A44"/>
          <w:sz w:val="20"/>
          <w:szCs w:val="20"/>
        </w:rPr>
        <w:t xml:space="preserve">Logic —  </w:t>
      </w:r>
      <w:r>
        <w:rPr>
          <w:sz w:val="20"/>
          <w:szCs w:val="20"/>
        </w:rPr>
        <w:t xml:space="preserve">Monthly grouping of matched invoice lines: identified = all non-clean variance; recovered = resolved or debit-memo-sent; open = still pending review.</w:t>
      </w:r>
    </w:p>
    <w:p>
      <w:pPr>
        <w:spacing w:after="80"/>
        <w:ind w:left="200"/>
      </w:pPr>
      <w:r>
        <w:rPr>
          <w:b/>
          <w:bCs/>
          <w:color w:val="1F2A44"/>
          <w:sz w:val="20"/>
          <w:szCs w:val="20"/>
        </w:rPr>
        <w:t xml:space="preserve">Data —  </w:t>
      </w:r>
      <w:r>
        <w:rPr>
          <w:sz w:val="20"/>
          <w:szCs w:val="20"/>
        </w:rPr>
        <w:t xml:space="preserve">match_trend_v — threeway_match grouped by invoice month.</w:t>
      </w:r>
    </w:p>
    <w:p>
      <w:pPr>
        <w:pStyle w:val="Heading2"/>
        <w:spacing w:after="60" w:before="220"/>
      </w:pPr>
      <w:r>
        <w:rPr>
          <w:color w:val="2E5BFF"/>
        </w:rPr>
        <w:t xml:space="preserve">Open exception aging (bar)</w:t>
      </w:r>
    </w:p>
    <w:p>
      <w:pPr>
        <w:spacing w:after="40" w:before="40"/>
        <w:jc w:val="center"/>
      </w:pPr>
      <w:r>
        <w:drawing>
          <wp:inline distT="0" distB="0" distL="0" distR="0">
            <wp:extent cx="2857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286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Aging buckets (0–15 / 16–30 / 31–60 / 60+ days) for open exceptions. Old exceptions are the close-cycle killers — the bars should live on the left.</w:t>
      </w:r>
    </w:p>
    <w:p>
      <w:pPr>
        <w:spacing w:after="80"/>
        <w:ind w:left="200"/>
      </w:pPr>
      <w:r>
        <w:rPr>
          <w:b/>
          <w:bCs/>
          <w:color w:val="1F2A44"/>
          <w:sz w:val="20"/>
          <w:szCs w:val="20"/>
        </w:rPr>
        <w:t xml:space="preserve">Logic —  </w:t>
      </w:r>
      <w:r>
        <w:rPr>
          <w:sz w:val="20"/>
          <w:szCs w:val="20"/>
        </w:rPr>
        <w:t xml:space="preserve">Age = days since invoice date; buckets computed in-app.</w:t>
      </w:r>
    </w:p>
    <w:p>
      <w:pPr>
        <w:spacing w:after="80"/>
        <w:ind w:left="200"/>
      </w:pPr>
      <w:r>
        <w:rPr>
          <w:b/>
          <w:bCs/>
          <w:color w:val="1F2A44"/>
          <w:sz w:val="20"/>
          <w:szCs w:val="20"/>
        </w:rPr>
        <w:t xml:space="preserve">Data —  </w:t>
      </w:r>
      <w:r>
        <w:rPr>
          <w:sz w:val="20"/>
          <w:szCs w:val="20"/>
        </w:rPr>
        <w:t xml:space="preserve">exception_queue_v — open threeway_match rows (PendingReview / DebitMemoSent).</w:t>
      </w:r>
    </w:p>
    <w:p>
      <w:pPr>
        <w:pStyle w:val="Heading2"/>
        <w:spacing w:after="60" w:before="220"/>
      </w:pPr>
      <w:r>
        <w:rPr>
          <w:color w:val="2E5BFF"/>
        </w:rPr>
        <w:t xml:space="preserve">Open exceptions by root cause (donut)</w:t>
      </w:r>
    </w:p>
    <w:p>
      <w:pPr>
        <w:spacing w:after="40" w:before="40"/>
        <w:jc w:val="center"/>
      </w:pPr>
      <w:r>
        <w:drawing>
          <wp:inline distT="0" distB="0" distL="0" distR="0">
            <wp:extent cx="2857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286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Open dollars by cause — price variance, quantity variance, freight, and friends. Causes tell you what to fix upstream: chronic price variance means the vendor's price file and ours disagree (Module 7 territory).</w:t>
      </w:r>
    </w:p>
    <w:p>
      <w:pPr>
        <w:spacing w:after="80"/>
        <w:ind w:left="200"/>
      </w:pPr>
      <w:r>
        <w:rPr>
          <w:b/>
          <w:bCs/>
          <w:color w:val="1F2A44"/>
          <w:sz w:val="20"/>
          <w:szCs w:val="20"/>
        </w:rPr>
        <w:t xml:space="preserve">Logic —  </w:t>
      </w:r>
      <w:r>
        <w:rPr>
          <w:sz w:val="20"/>
          <w:szCs w:val="20"/>
        </w:rPr>
        <w:t xml:space="preserve">Open variance dollars summed by variance type.</w:t>
      </w:r>
    </w:p>
    <w:p>
      <w:pPr>
        <w:spacing w:after="80"/>
        <w:ind w:left="200"/>
      </w:pPr>
      <w:r>
        <w:rPr>
          <w:b/>
          <w:bCs/>
          <w:color w:val="1F2A44"/>
          <w:sz w:val="20"/>
          <w:szCs w:val="20"/>
        </w:rPr>
        <w:t xml:space="preserve">Data —  </w:t>
      </w:r>
      <w:r>
        <w:rPr>
          <w:sz w:val="20"/>
          <w:szCs w:val="20"/>
        </w:rPr>
        <w:t xml:space="preserve">exception_queue_v — same open exceptions, grouped by variance_type.</w:t>
      </w:r>
    </w:p>
    <w:p>
      <w:pPr>
        <w:pStyle w:val="Heading2"/>
        <w:spacing w:after="60" w:before="220"/>
      </w:pPr>
      <w:r>
        <w:rPr>
          <w:color w:val="2E5BFF"/>
        </w:rPr>
        <w:t xml:space="preserve">Master statement reconciliation (table)</w:t>
      </w:r>
    </w:p>
    <w:p>
      <w:pPr>
        <w:spacing w:after="80"/>
        <w:ind w:left="200"/>
      </w:pPr>
      <w:r>
        <w:rPr>
          <w:b/>
          <w:bCs/>
          <w:color w:val="1F2A44"/>
          <w:sz w:val="20"/>
          <w:szCs w:val="20"/>
        </w:rPr>
        <w:t xml:space="preserve">Purpose —  </w:t>
      </w:r>
      <w:r>
        <w:rPr>
          <w:sz w:val="20"/>
          <w:szCs w:val="20"/>
        </w:rPr>
        <w:t xml:space="preserve">The pay-file gate: each vendor master statement with its invoice count, total, open exceptions, and a status — Clear to pay, Pay less debit memos, or Hold for material exceptions (&gt;$500 open). Nothing gets paid while its exceptions are open; nothing clean waits.</w:t>
      </w:r>
    </w:p>
    <w:p>
      <w:pPr>
        <w:spacing w:after="80"/>
        <w:ind w:left="200"/>
      </w:pPr>
      <w:r>
        <w:rPr>
          <w:b/>
          <w:bCs/>
          <w:color w:val="1F2A44"/>
          <w:sz w:val="20"/>
          <w:szCs w:val="20"/>
        </w:rPr>
        <w:t xml:space="preserve">Logic —  </w:t>
      </w:r>
      <w:r>
        <w:rPr>
          <w:sz w:val="20"/>
          <w:szCs w:val="20"/>
        </w:rPr>
        <w:t xml:space="preserve">Invoices grouped by master statement; exception dollars rolled up per statement drive the three-way status rule.</w:t>
      </w:r>
    </w:p>
    <w:p>
      <w:pPr>
        <w:spacing w:after="80"/>
        <w:ind w:left="200"/>
      </w:pPr>
      <w:r>
        <w:rPr>
          <w:b/>
          <w:bCs/>
          <w:color w:val="1F2A44"/>
          <w:sz w:val="20"/>
          <w:szCs w:val="20"/>
        </w:rPr>
        <w:t xml:space="preserve">Data —  </w:t>
      </w:r>
      <w:r>
        <w:rPr>
          <w:sz w:val="20"/>
          <w:szCs w:val="20"/>
        </w:rPr>
        <w:t xml:space="preserve">statement_recon_v — invoice_header grouped by master statement, joined to threeway_match rollups.</w:t>
      </w:r>
    </w:p>
    <w:p>
      <w:pPr>
        <w:pStyle w:val="Heading2"/>
        <w:spacing w:after="60" w:before="220"/>
      </w:pPr>
      <w:r>
        <w:rPr>
          <w:color w:val="2E5BFF"/>
        </w:rPr>
        <w:t xml:space="preserve">Exception queue (table)</w:t>
      </w:r>
    </w:p>
    <w:p>
      <w:pPr>
        <w:spacing w:after="80"/>
        <w:ind w:left="200"/>
      </w:pPr>
      <w:r>
        <w:rPr>
          <w:b/>
          <w:bCs/>
          <w:color w:val="1F2A44"/>
          <w:sz w:val="20"/>
          <w:szCs w:val="20"/>
        </w:rPr>
        <w:t xml:space="preserve">Purpose —  </w:t>
      </w:r>
      <w:r>
        <w:rPr>
          <w:sz w:val="20"/>
          <w:szCs w:val="20"/>
        </w:rPr>
        <w:t xml:space="preserve">The worklist itself, largest dollars first, each with an AI-suggested resolution (short-ship debit memo, price-file correction, freight reclass...). The human stays accountable; the machine drafts.</w:t>
      </w:r>
    </w:p>
    <w:p>
      <w:pPr>
        <w:spacing w:after="80"/>
        <w:ind w:left="200"/>
      </w:pPr>
      <w:r>
        <w:rPr>
          <w:b/>
          <w:bCs/>
          <w:color w:val="1F2A44"/>
          <w:sz w:val="20"/>
          <w:szCs w:val="20"/>
        </w:rPr>
        <w:t xml:space="preserve">Logic —  </w:t>
      </w:r>
      <w:r>
        <w:rPr>
          <w:sz w:val="20"/>
          <w:szCs w:val="20"/>
        </w:rPr>
        <w:t xml:space="preserve">Open exceptions sorted by variance amount; the suggestion text is stored with the match row.</w:t>
      </w:r>
    </w:p>
    <w:p>
      <w:pPr>
        <w:spacing w:after="80"/>
        <w:ind w:left="200"/>
      </w:pPr>
      <w:r>
        <w:rPr>
          <w:b/>
          <w:bCs/>
          <w:color w:val="1F2A44"/>
          <w:sz w:val="20"/>
          <w:szCs w:val="20"/>
        </w:rPr>
        <w:t xml:space="preserve">Data —  </w:t>
      </w:r>
      <w:r>
        <w:rPr>
          <w:sz w:val="20"/>
          <w:szCs w:val="20"/>
        </w:rPr>
        <w:t xml:space="preserve">exception_queue_v — threeway_match with po_header, dim_vendor, and item attributes.</w:t>
      </w:r>
    </w:p>
    <w:p>
      <w:r>
        <w:br w:type="page"/>
      </w:r>
    </w:p>
    <w:p>
      <w:pPr>
        <w:pStyle w:val="Heading1"/>
        <w:spacing w:after="120" w:before="300"/>
      </w:pPr>
      <w:r>
        <w:rPr>
          <w:color w:val="1F2A44"/>
        </w:rPr>
        <w:t xml:space="preserve">Module 7 — Pricing &amp; Promotion</w:t>
      </w:r>
    </w:p>
    <w:p>
      <w:pPr>
        <w:spacing w:after="160"/>
      </w:pPr>
      <w:r>
        <w:rPr>
          <w:i/>
          <w:iCs/>
          <w:color w:val="5A6880"/>
          <w:sz w:val="21"/>
          <w:szCs w:val="21"/>
        </w:rPr>
        <w:t xml:space="preserve">Vendor price files in, staged ERP updates out — with every event carrying its margin impact, its pre-buy option, and its store execution trail. Nothing touches the ERP without an approval click.</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Concepts to know: </w:t>
            </w:r>
            <w:r>
              <w:rPr>
                <w:sz w:val="19"/>
                <w:szCs w:val="19"/>
              </w:rPr>
              <w:t xml:space="preserve">Vendors announce cost increases via price files (EDI 832 for the sophisticated ones; PDFs and spreadsheets otherwise). The retailer then chooses whether to 'follow the retail' — raise shelf prices too — which sets the margin outcome. A pre-buy is stocking up at today's cost before an announced increase takes effect. 'Staging' means the new prices sit in a holding area until a human approves the push to the ERP; retagging is the store labor of re-labeling shelves after a price change.</w:t>
            </w:r>
          </w:p>
          <w:p>
            <w:pPr>
              <w:spacing w:after="80"/>
            </w:pPr>
            <w:r>
              <w:rPr>
                <w:b/>
                <w:bCs/>
                <w:color w:val="1F2A44"/>
                <w:sz w:val="19"/>
                <w:szCs w:val="19"/>
              </w:rPr>
              <w:t xml:space="preserve">Client need: </w:t>
            </w:r>
            <w:r>
              <w:rPr>
                <w:sz w:val="19"/>
                <w:szCs w:val="19"/>
              </w:rPr>
              <w:t xml:space="preserve">Price updates arrive as attachments and get keyed into the ERP by hand — sometimes late, occasionally wrong, with no record of whether stores retagged. Margin then moves without anyone deciding it should. The module's promise: every price event is explicit — impact previewed, pre-buy considered, approval logged, store execution tracked.</w:t>
            </w:r>
          </w:p>
          <w:p>
            <w:pPr>
              <w:spacing w:after="80"/>
            </w:pPr>
            <w:r>
              <w:rPr>
                <w:b/>
                <w:bCs/>
                <w:color w:val="1F2A44"/>
                <w:sz w:val="19"/>
                <w:szCs w:val="19"/>
              </w:rPr>
              <w:t xml:space="preserve">What to internalize: </w:t>
            </w:r>
            <w:r>
              <w:rPr>
                <w:sz w:val="19"/>
                <w:szCs w:val="19"/>
              </w:rPr>
              <w:t xml:space="preserve">The 6-weeks-of-supply guardrail on pre-buys is the module's judgment in one number: buy ahead enough to capture savings, never enough to create a markdown problem. That guardrail thinking — every play capped by its downside — is the design philosophy across the app.</w:t>
            </w:r>
          </w:p>
        </w:tc>
      </w:tr>
    </w:tbl>
    <w:p>
      <w:pPr>
        <w:spacing w:after="120"/>
      </w:pPr>
    </w:p>
    <w:p>
      <w:pPr>
        <w:pStyle w:val="Heading2"/>
        <w:spacing w:after="60" w:before="220"/>
      </w:pPr>
      <w:r>
        <w:rPr>
          <w:color w:val="2E5BFF"/>
        </w:rPr>
        <w:t xml:space="preserve">KPI strip</w:t>
      </w:r>
    </w:p>
    <w:p>
      <w:pPr>
        <w:spacing w:after="80"/>
        <w:ind w:left="200"/>
      </w:pPr>
      <w:r>
        <w:rPr>
          <w:b/>
          <w:bCs/>
          <w:color w:val="1F2A44"/>
          <w:sz w:val="20"/>
          <w:szCs w:val="20"/>
        </w:rPr>
        <w:t xml:space="preserve">Purpose —  </w:t>
      </w:r>
      <w:r>
        <w:rPr>
          <w:sz w:val="20"/>
          <w:szCs w:val="20"/>
        </w:rPr>
        <w:t xml:space="preserve">Pipeline size and urgency (upcoming vs overdue events), the next effective date, SKUs touched, the annual margin delta of the staged 8/1 increase, the pre-buy savings on the table, and store tasks overdue from price events.</w:t>
      </w:r>
    </w:p>
    <w:p>
      <w:pPr>
        <w:spacing w:after="80"/>
        <w:ind w:left="200"/>
      </w:pPr>
      <w:r>
        <w:rPr>
          <w:b/>
          <w:bCs/>
          <w:color w:val="1F2A44"/>
          <w:sz w:val="20"/>
          <w:szCs w:val="20"/>
        </w:rPr>
        <w:t xml:space="preserve">Logic —  </w:t>
      </w:r>
      <w:r>
        <w:rPr>
          <w:sz w:val="20"/>
          <w:szCs w:val="20"/>
        </w:rPr>
        <w:t xml:space="preserve">Workflow states and task rollups from the event pipeline; margin delta and pre-buy sums from the two analysis views below.</w:t>
      </w:r>
    </w:p>
    <w:p>
      <w:pPr>
        <w:spacing w:after="80"/>
        <w:ind w:left="200"/>
      </w:pPr>
      <w:r>
        <w:rPr>
          <w:b/>
          <w:bCs/>
          <w:color w:val="1F2A44"/>
          <w:sz w:val="20"/>
          <w:szCs w:val="20"/>
        </w:rPr>
        <w:t xml:space="preserve">Data —  </w:t>
      </w:r>
      <w:r>
        <w:rPr>
          <w:sz w:val="20"/>
          <w:szCs w:val="20"/>
        </w:rPr>
        <w:t xml:space="preserve">price_event_pipeline_v, price_impact_v, prebuy_analysis_v.</w:t>
      </w:r>
    </w:p>
    <w:p>
      <w:pPr>
        <w:pStyle w:val="Heading2"/>
        <w:spacing w:after="60" w:before="220"/>
      </w:pPr>
      <w:r>
        <w:rPr>
          <w:color w:val="2E5BFF"/>
        </w:rPr>
        <w:t xml:space="preserve">Price &amp; promo event pipeline (table)</w:t>
      </w:r>
    </w:p>
    <w:p>
      <w:pPr>
        <w:spacing w:after="80"/>
        <w:ind w:left="200"/>
      </w:pPr>
      <w:r>
        <w:rPr>
          <w:b/>
          <w:bCs/>
          <w:color w:val="1F2A44"/>
          <w:sz w:val="20"/>
          <w:szCs w:val="20"/>
        </w:rPr>
        <w:t xml:space="preserve">Purpose —  </w:t>
      </w:r>
      <w:r>
        <w:rPr>
          <w:sz w:val="20"/>
          <w:szCs w:val="20"/>
        </w:rPr>
        <w:t xml:space="preserve">Every price event — vendor increases, markdowns, promo starts/ends — with its workflow state machine: Announced → ERP updated → Executed (ERP + stores notified + labels generated), or OVERDUE if the effective date passed without staging. Store-task and comms columns show execution, not just intent.</w:t>
      </w:r>
    </w:p>
    <w:p>
      <w:pPr>
        <w:spacing w:after="80"/>
        <w:ind w:left="200"/>
      </w:pPr>
      <w:r>
        <w:rPr>
          <w:b/>
          <w:bCs/>
          <w:color w:val="1F2A44"/>
          <w:sz w:val="20"/>
          <w:szCs w:val="20"/>
        </w:rPr>
        <w:t xml:space="preserve">Logic —  </w:t>
      </w:r>
      <w:r>
        <w:rPr>
          <w:sz w:val="20"/>
          <w:szCs w:val="20"/>
        </w:rPr>
        <w:t xml:space="preserve">State derived from three flags on the event (ERP updated, stores notified, label file generated) plus the effective date; task counts roll up from store tasks linked to the event; comms status from the drafted/sent message.</w:t>
      </w:r>
    </w:p>
    <w:p>
      <w:pPr>
        <w:spacing w:after="80"/>
        <w:ind w:left="200"/>
      </w:pPr>
      <w:r>
        <w:rPr>
          <w:b/>
          <w:bCs/>
          <w:color w:val="1F2A44"/>
          <w:sz w:val="20"/>
          <w:szCs w:val="20"/>
        </w:rPr>
        <w:t xml:space="preserve">Data —  </w:t>
      </w:r>
      <w:r>
        <w:rPr>
          <w:sz w:val="20"/>
          <w:szCs w:val="20"/>
        </w:rPr>
        <w:t xml:space="preserve">price_event_pipeline_v — price_change_events + store_tasks rollup + comms_log, vendors from dim_vendor.</w:t>
      </w:r>
    </w:p>
    <w:p>
      <w:pPr>
        <w:pStyle w:val="Heading2"/>
        <w:spacing w:after="60" w:before="220"/>
      </w:pPr>
      <w:r>
        <w:rPr>
          <w:color w:val="2E5BFF"/>
        </w:rPr>
        <w:t xml:space="preserve">Margin impact preview — Carhartt increase, effective 8/1 (bar)</w:t>
      </w:r>
    </w:p>
    <w:p>
      <w:pPr>
        <w:spacing w:after="40" w:before="40"/>
        <w:jc w:val="center"/>
      </w:pPr>
      <w:r>
        <w:drawing>
          <wp:inline distT="0" distB="0" distL="0" distR="0">
            <wp:extent cx="52673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67325" cy="2667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The staged vendor increase, made explicit: cost +5.5%, retail +10% per the vendor 832 file — margin % before vs after for each affected style. The point: following the vendor's suggested retail is a decision, and this makes it explicit instead of accidental.</w:t>
      </w:r>
    </w:p>
    <w:p>
      <w:pPr>
        <w:spacing w:after="80"/>
        <w:ind w:left="200"/>
      </w:pPr>
      <w:r>
        <w:rPr>
          <w:b/>
          <w:bCs/>
          <w:color w:val="1F2A44"/>
          <w:sz w:val="20"/>
          <w:szCs w:val="20"/>
        </w:rPr>
        <w:t xml:space="preserve">Logic —  </w:t>
      </w:r>
      <w:r>
        <w:rPr>
          <w:sz w:val="20"/>
          <w:szCs w:val="20"/>
        </w:rPr>
        <w:t xml:space="preserve">Old vs new cost and retail from the two price files (1/1 regular vs 8/1 staged); annual margin delta = weekly unit rate × change in unit margin × 52.</w:t>
      </w:r>
    </w:p>
    <w:p>
      <w:pPr>
        <w:spacing w:after="80"/>
        <w:ind w:left="200"/>
      </w:pPr>
      <w:r>
        <w:rPr>
          <w:b/>
          <w:bCs/>
          <w:color w:val="1F2A44"/>
          <w:sz w:val="20"/>
          <w:szCs w:val="20"/>
        </w:rPr>
        <w:t xml:space="preserve">Data —  </w:t>
      </w:r>
      <w:r>
        <w:rPr>
          <w:sz w:val="20"/>
          <w:szCs w:val="20"/>
        </w:rPr>
        <w:t xml:space="preserve">price_impact_v — price_master (both effective dates) joined through dim_sku/dim_style, with the 8-week sales run rate from fact_sales_daily.</w:t>
      </w:r>
    </w:p>
    <w:p>
      <w:pPr>
        <w:pStyle w:val="Heading2"/>
        <w:spacing w:after="60" w:before="220"/>
      </w:pPr>
      <w:r>
        <w:rPr>
          <w:color w:val="2E5BFF"/>
        </w:rPr>
        <w:t xml:space="preserve">Pre-buy option — announced increases (bar)</w:t>
      </w:r>
    </w:p>
    <w:p>
      <w:pPr>
        <w:spacing w:after="40" w:before="40"/>
        <w:jc w:val="center"/>
      </w:pPr>
      <w:r>
        <w:drawing>
          <wp:inline distT="0" distB="0" distL="0" distR="0">
            <wp:extent cx="52673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67325" cy="2667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For each announced increase: buy at today's cost before the effective date. Grey bar = cash outlay, green = savings captured. The guardrail does the talking: pre-buys are capped at 6 weeks of supply so a price play never becomes a markdown problem.</w:t>
      </w:r>
    </w:p>
    <w:p>
      <w:pPr>
        <w:spacing w:after="80"/>
        <w:ind w:left="200"/>
      </w:pPr>
      <w:r>
        <w:rPr>
          <w:b/>
          <w:bCs/>
          <w:color w:val="1F2A44"/>
          <w:sz w:val="20"/>
          <w:szCs w:val="20"/>
        </w:rPr>
        <w:t xml:space="preserve">Logic —  </w:t>
      </w:r>
      <w:r>
        <w:rPr>
          <w:sz w:val="20"/>
          <w:szCs w:val="20"/>
        </w:rPr>
        <w:t xml:space="preserve">Suggested pre-buy quantity = 6 weeks of demand at the current 8-week burn rate; savings = quantity × cost delta; outlay = quantity × today's cost.</w:t>
      </w:r>
    </w:p>
    <w:p>
      <w:pPr>
        <w:spacing w:after="80"/>
        <w:ind w:left="200"/>
      </w:pPr>
      <w:r>
        <w:rPr>
          <w:b/>
          <w:bCs/>
          <w:color w:val="1F2A44"/>
          <w:sz w:val="20"/>
          <w:szCs w:val="20"/>
        </w:rPr>
        <w:t xml:space="preserve">Data —  </w:t>
      </w:r>
      <w:r>
        <w:rPr>
          <w:sz w:val="20"/>
          <w:szCs w:val="20"/>
        </w:rPr>
        <w:t xml:space="preserve">prebuy_analysis_v — announced increases joined to the sales run rate (fact_sales_daily × demand_base).</w:t>
      </w:r>
    </w:p>
    <w:p>
      <w:pPr>
        <w:pStyle w:val="Heading2"/>
        <w:spacing w:after="60" w:before="220"/>
      </w:pPr>
      <w:r>
        <w:rPr>
          <w:color w:val="2E5BFF"/>
        </w:rPr>
        <w:t xml:space="preserve">Pre-buy detail by style (table)</w:t>
      </w:r>
    </w:p>
    <w:p>
      <w:pPr>
        <w:spacing w:after="80"/>
        <w:ind w:left="200"/>
      </w:pPr>
      <w:r>
        <w:rPr>
          <w:b/>
          <w:bCs/>
          <w:color w:val="1F2A44"/>
          <w:sz w:val="20"/>
          <w:szCs w:val="20"/>
        </w:rPr>
        <w:t xml:space="preserve">Purpose —  </w:t>
      </w:r>
      <w:r>
        <w:rPr>
          <w:sz w:val="20"/>
          <w:szCs w:val="20"/>
        </w:rPr>
        <w:t xml:space="preserve">The same math at style level, so a buyer can cherry-pick rather than take the whole program.</w:t>
      </w:r>
    </w:p>
    <w:p>
      <w:pPr>
        <w:spacing w:after="80"/>
        <w:ind w:left="200"/>
      </w:pPr>
      <w:r>
        <w:rPr>
          <w:b/>
          <w:bCs/>
          <w:color w:val="1F2A44"/>
          <w:sz w:val="20"/>
          <w:szCs w:val="20"/>
        </w:rPr>
        <w:t xml:space="preserve">Logic —  </w:t>
      </w:r>
      <w:r>
        <w:rPr>
          <w:sz w:val="20"/>
          <w:szCs w:val="20"/>
        </w:rPr>
        <w:t xml:space="preserve">One row per style under an announced increase: weekly units, cost delta per unit, suggested quantity, outlay, savings.</w:t>
      </w:r>
    </w:p>
    <w:p>
      <w:pPr>
        <w:spacing w:after="80"/>
        <w:ind w:left="200"/>
      </w:pPr>
      <w:r>
        <w:rPr>
          <w:b/>
          <w:bCs/>
          <w:color w:val="1F2A44"/>
          <w:sz w:val="20"/>
          <w:szCs w:val="20"/>
        </w:rPr>
        <w:t xml:space="preserve">Data —  </w:t>
      </w:r>
      <w:r>
        <w:rPr>
          <w:sz w:val="20"/>
          <w:szCs w:val="20"/>
        </w:rPr>
        <w:t xml:space="preserve">prebuy_analysis_v.</w:t>
      </w:r>
    </w:p>
    <w:p>
      <w:pPr>
        <w:pStyle w:val="Heading2"/>
        <w:spacing w:after="60" w:before="220"/>
      </w:pPr>
      <w:r>
        <w:rPr>
          <w:color w:val="2E5BFF"/>
        </w:rPr>
        <w:t xml:space="preserve">Price file ingestion — by vendor tier (table + bullets)</w:t>
      </w:r>
    </w:p>
    <w:p>
      <w:pPr>
        <w:spacing w:after="80"/>
        <w:ind w:left="200"/>
      </w:pPr>
      <w:r>
        <w:rPr>
          <w:b/>
          <w:bCs/>
          <w:color w:val="1F2A44"/>
          <w:sz w:val="20"/>
          <w:szCs w:val="20"/>
        </w:rPr>
        <w:t xml:space="preserve">Purpose —  </w:t>
      </w:r>
      <w:r>
        <w:rPr>
          <w:sz w:val="20"/>
          <w:szCs w:val="20"/>
        </w:rPr>
        <w:t xml:space="preserve">How price updates physically arrive per vendor tier (EDI 832 / portal / parsed email), and the governance path: diffs land against the price master, a buyer approves, then the ERP is updated. Approved events auto-spawn store retag tasks and an LLM-drafted change digest (Module 9).</w:t>
      </w:r>
    </w:p>
    <w:p>
      <w:pPr>
        <w:spacing w:after="80"/>
        <w:ind w:left="200"/>
      </w:pPr>
      <w:r>
        <w:rPr>
          <w:b/>
          <w:bCs/>
          <w:color w:val="1F2A44"/>
          <w:sz w:val="20"/>
          <w:szCs w:val="20"/>
        </w:rPr>
        <w:t xml:space="preserve">Logic —  </w:t>
      </w:r>
      <w:r>
        <w:rPr>
          <w:sz w:val="20"/>
          <w:szCs w:val="20"/>
        </w:rPr>
        <w:t xml:space="preserve">Vendor counts grouped by sophistication tier, mapped to their ingestion method.</w:t>
      </w:r>
    </w:p>
    <w:p>
      <w:pPr>
        <w:spacing w:after="80"/>
        <w:ind w:left="200"/>
      </w:pPr>
      <w:r>
        <w:rPr>
          <w:b/>
          <w:bCs/>
          <w:color w:val="1F2A44"/>
          <w:sz w:val="20"/>
          <w:szCs w:val="20"/>
        </w:rPr>
        <w:t xml:space="preserve">Data —  </w:t>
      </w:r>
      <w:r>
        <w:rPr>
          <w:sz w:val="20"/>
          <w:szCs w:val="20"/>
        </w:rPr>
        <w:t xml:space="preserve">dim_vendor (registry table read directly).</w:t>
      </w:r>
    </w:p>
    <w:p>
      <w:r>
        <w:br w:type="page"/>
      </w:r>
    </w:p>
    <w:p>
      <w:pPr>
        <w:pStyle w:val="Heading1"/>
        <w:spacing w:after="120" w:before="300"/>
      </w:pPr>
      <w:r>
        <w:rPr>
          <w:color w:val="1F2A44"/>
        </w:rPr>
        <w:t xml:space="preserve">Module 8 — Markdown Management</w:t>
      </w:r>
    </w:p>
    <w:p>
      <w:pPr>
        <w:spacing w:after="160"/>
      </w:pPr>
      <w:r>
        <w:rPr>
          <w:i/>
          <w:iCs/>
          <w:color w:val="5A6880"/>
          <w:sz w:val="21"/>
          <w:szCs w:val="21"/>
        </w:rPr>
        <w:t xml:space="preserve">Fewer, later, smarter markdowns. Sell-through — not the calendar — triggers the ladder, a margin floor protects the bottom steps, experiments tune the timing, and stores get the label files automatically.</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Concepts to know: </w:t>
            </w:r>
            <w:r>
              <w:rPr>
                <w:sz w:val="19"/>
                <w:szCs w:val="19"/>
              </w:rPr>
              <w:t xml:space="preserve">A markdown is a permanent price cut to clear seasonal goods (vs a promo, which is temporary). Sell-through % = units sold ÷ total season supply — the standard clearance progress metric. A markdown ladder is the pre-planned sequence of cuts (20% → 30% → 50%); the margin floor is the price below which a step loses more margin than the inventory is worth holding. The classic retail failure mode is marking down by calendar habit ('rainwear goes 30% off in June') instead of by season performance.</w:t>
            </w:r>
          </w:p>
          <w:p>
            <w:pPr>
              <w:spacing w:after="80"/>
            </w:pPr>
            <w:r>
              <w:rPr>
                <w:b/>
                <w:bCs/>
                <w:color w:val="1F2A44"/>
                <w:sz w:val="19"/>
                <w:szCs w:val="19"/>
              </w:rPr>
              <w:t xml:space="preserve">Client need: </w:t>
            </w:r>
            <w:r>
              <w:rPr>
                <w:sz w:val="19"/>
                <w:szCs w:val="19"/>
              </w:rPr>
              <w:t xml:space="preserve">WorkWorld marks down on autopilot and the owners suspect they're giving margin away — either too early on seasons selling fine, or too late (missing the clearance window entirely). The season chart answers the suspicion with data, and the experiment cards show timing being tested rather than argued about.</w:t>
            </w:r>
          </w:p>
          <w:p>
            <w:pPr>
              <w:spacing w:after="80"/>
            </w:pPr>
            <w:r>
              <w:rPr>
                <w:b/>
                <w:bCs/>
                <w:color w:val="1F2A44"/>
                <w:sz w:val="19"/>
                <w:szCs w:val="19"/>
              </w:rPr>
              <w:t xml:space="preserve">What to internalize: </w:t>
            </w:r>
            <w:r>
              <w:rPr>
                <w:sz w:val="19"/>
                <w:szCs w:val="19"/>
              </w:rPr>
              <w:t xml:space="preserve">The line that lands: 'the best markdown is the one you never take.' Everything in the module pushes toward triggering from sell-through and stopping above the floor. The delayed-ladder test (MD-004) shows the client this isn't dogma — it's testable.</w:t>
            </w:r>
          </w:p>
        </w:tc>
      </w:tr>
    </w:tbl>
    <w:p>
      <w:pPr>
        <w:spacing w:after="120"/>
      </w:pPr>
    </w:p>
    <w:p>
      <w:pPr>
        <w:pStyle w:val="Heading2"/>
        <w:spacing w:after="60" w:before="220"/>
      </w:pPr>
      <w:r>
        <w:rPr>
          <w:color w:val="2E5BFF"/>
        </w:rPr>
        <w:t xml:space="preserve">KPI strip</w:t>
      </w:r>
    </w:p>
    <w:p>
      <w:pPr>
        <w:spacing w:after="80"/>
        <w:ind w:left="200"/>
      </w:pPr>
      <w:r>
        <w:rPr>
          <w:b/>
          <w:bCs/>
          <w:color w:val="1F2A44"/>
          <w:sz w:val="20"/>
          <w:szCs w:val="20"/>
        </w:rPr>
        <w:t xml:space="preserve">Purpose —  </w:t>
      </w:r>
      <w:r>
        <w:rPr>
          <w:sz w:val="20"/>
          <w:szCs w:val="20"/>
        </w:rPr>
        <w:t xml:space="preserve">Season sell-through vs plan, active policies (plus the delayed-ladder test), sales since the first markdown step, ladder steps priced below the margin floor, and execution debt: markdown events not yet staged and label tasks overdue.</w:t>
      </w:r>
    </w:p>
    <w:p>
      <w:pPr>
        <w:spacing w:after="80"/>
        <w:ind w:left="200"/>
      </w:pPr>
      <w:r>
        <w:rPr>
          <w:b/>
          <w:bCs/>
          <w:color w:val="1F2A44"/>
          <w:sz w:val="20"/>
          <w:szCs w:val="20"/>
        </w:rPr>
        <w:t xml:space="preserve">Logic —  </w:t>
      </w:r>
      <w:r>
        <w:rPr>
          <w:sz w:val="20"/>
          <w:szCs w:val="20"/>
        </w:rPr>
        <w:t xml:space="preserve">Sell-through and step markers from the season view; floor breaches counted from the ladder view; execution states from the price event pipeline filtered to markdowns.</w:t>
      </w:r>
    </w:p>
    <w:p>
      <w:pPr>
        <w:spacing w:after="80"/>
        <w:ind w:left="200"/>
      </w:pPr>
      <w:r>
        <w:rPr>
          <w:b/>
          <w:bCs/>
          <w:color w:val="1F2A44"/>
          <w:sz w:val="20"/>
          <w:szCs w:val="20"/>
        </w:rPr>
        <w:t xml:space="preserve">Data —  </w:t>
      </w:r>
      <w:r>
        <w:rPr>
          <w:sz w:val="20"/>
          <w:szCs w:val="20"/>
        </w:rPr>
        <w:t xml:space="preserve">markdown_season_v, markdown_policy, markdown_ladder_v, price_event_pipeline_v.</w:t>
      </w:r>
    </w:p>
    <w:p>
      <w:pPr>
        <w:pStyle w:val="Heading2"/>
        <w:spacing w:after="60" w:before="220"/>
      </w:pPr>
      <w:r>
        <w:rPr>
          <w:color w:val="2E5BFF"/>
        </w:rPr>
        <w:t xml:space="preserve">Rainwear season — sell-through vs the ladder (bar + line)</w:t>
      </w:r>
    </w:p>
    <w:p>
      <w:pPr>
        <w:spacing w:after="40" w:before="40"/>
        <w:jc w:val="center"/>
      </w:pPr>
      <w:r>
        <w:drawing>
          <wp:inline distT="0" distB="0" distL="0" distR="0">
            <wp:extent cx="6096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17907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The season told as one chart: weekly units (bars), cumulative sell-through (line) against the 60%-by-week-10 trigger, and orange diamonds where ladder steps fired. The question it answers on sight: did we mark down because the season said so, or because the calendar did?</w:t>
      </w:r>
    </w:p>
    <w:p>
      <w:pPr>
        <w:spacing w:after="80"/>
        <w:ind w:left="200"/>
      </w:pPr>
      <w:r>
        <w:rPr>
          <w:b/>
          <w:bCs/>
          <w:color w:val="1F2A44"/>
          <w:sz w:val="20"/>
          <w:szCs w:val="20"/>
        </w:rPr>
        <w:t xml:space="preserve">Logic —  </w:t>
      </w:r>
      <w:r>
        <w:rPr>
          <w:sz w:val="20"/>
          <w:szCs w:val="20"/>
        </w:rPr>
        <w:t xml:space="preserve">Cumulative sell-through = units sold to date ÷ estimated season supply (units sold + current on-hand). Step markers carry the realized average price that week, so you can see the price actually move.</w:t>
      </w:r>
    </w:p>
    <w:p>
      <w:pPr>
        <w:spacing w:after="80"/>
        <w:ind w:left="200"/>
      </w:pPr>
      <w:r>
        <w:rPr>
          <w:b/>
          <w:bCs/>
          <w:color w:val="1F2A44"/>
          <w:sz w:val="20"/>
          <w:szCs w:val="20"/>
        </w:rPr>
        <w:t xml:space="preserve">Data —  </w:t>
      </w:r>
      <w:r>
        <w:rPr>
          <w:sz w:val="20"/>
          <w:szCs w:val="20"/>
        </w:rPr>
        <w:t xml:space="preserve">markdown_season_v — fact_sales_daily filtered to the rainwear category, weekly, with on-hand from fact_inventory_daily; trigger and steps per policy MD-001.</w:t>
      </w:r>
    </w:p>
    <w:p>
      <w:pPr>
        <w:pStyle w:val="Heading2"/>
        <w:spacing w:after="60" w:before="220"/>
      </w:pPr>
      <w:r>
        <w:rPr>
          <w:color w:val="2E5BFF"/>
        </w:rPr>
        <w:t xml:space="preserve">Ladder economics vs the floor (bar + line)</w:t>
      </w:r>
    </w:p>
    <w:p>
      <w:pPr>
        <w:spacing w:after="40" w:before="40"/>
        <w:jc w:val="center"/>
      </w:pPr>
      <w:r>
        <w:drawing>
          <wp:inline distT="0" distB="0" distL="0" distR="0">
            <wp:extent cx="52673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67325" cy="2667000"/>
                    </a:xfrm>
                    <a:prstGeom prst="rect">
                      <a:avLst/>
                    </a:prstGeom>
                  </pic:spPr>
                </pic:pic>
              </a:graphicData>
            </a:graphic>
          </wp:inline>
        </w:drawing>
      </w:r>
    </w:p>
    <w:p>
      <w:pPr>
        <w:spacing w:after="120"/>
        <w:jc w:val="center"/>
      </w:pPr>
      <w:r>
        <w:rPr>
          <w:i/>
          <w:iCs/>
          <w:color w:val="5A6880"/>
          <w:sz w:val="16"/>
          <w:szCs w:val="16"/>
        </w:rPr>
        <w:t xml:space="preserve">Captured live from the deployed app (demo data, anchor 2026-07-14).</w:t>
      </w:r>
    </w:p>
    <w:p>
      <w:pPr>
        <w:spacing w:after="80"/>
        <w:ind w:left="200"/>
      </w:pPr>
      <w:r>
        <w:rPr>
          <w:b/>
          <w:bCs/>
          <w:color w:val="1F2A44"/>
          <w:sz w:val="20"/>
          <w:szCs w:val="20"/>
        </w:rPr>
        <w:t xml:space="preserve">Purpose —  </w:t>
      </w:r>
      <w:r>
        <w:rPr>
          <w:sz w:val="20"/>
          <w:szCs w:val="20"/>
        </w:rPr>
        <w:t xml:space="preserve">Pick a style: margin % at each ladder step (regular → 20% → 30% → 50% off), with the policy's margin floor as a dashed line. Red bars breach the floor — those steps clear inventory but destroy margin, so the win is never needing them. This is the argument for triggering earlier, smaller markdowns.</w:t>
      </w:r>
    </w:p>
    <w:p>
      <w:pPr>
        <w:spacing w:after="80"/>
        <w:ind w:left="200"/>
      </w:pPr>
      <w:r>
        <w:rPr>
          <w:b/>
          <w:bCs/>
          <w:color w:val="1F2A44"/>
          <w:sz w:val="20"/>
          <w:szCs w:val="20"/>
        </w:rPr>
        <w:t xml:space="preserve">Logic —  </w:t>
      </w:r>
      <w:r>
        <w:rPr>
          <w:sz w:val="20"/>
          <w:szCs w:val="20"/>
        </w:rPr>
        <w:t xml:space="preserve">Step price = regular retail × (1 − discount); margin % at step = (step price − cost) ÷ step price; compared against the policy floor.</w:t>
      </w:r>
    </w:p>
    <w:p>
      <w:pPr>
        <w:spacing w:after="80"/>
        <w:ind w:left="200"/>
      </w:pPr>
      <w:r>
        <w:rPr>
          <w:b/>
          <w:bCs/>
          <w:color w:val="1F2A44"/>
          <w:sz w:val="20"/>
          <w:szCs w:val="20"/>
        </w:rPr>
        <w:t xml:space="preserve">Data —  </w:t>
      </w:r>
      <w:r>
        <w:rPr>
          <w:sz w:val="20"/>
          <w:szCs w:val="20"/>
        </w:rPr>
        <w:t xml:space="preserve">markdown_ladder_v — policy ladder steps priced against dim_style cost/retail, floors from markdown_policy.</w:t>
      </w:r>
    </w:p>
    <w:p>
      <w:pPr>
        <w:pStyle w:val="Heading2"/>
        <w:spacing w:after="60" w:before="220"/>
      </w:pPr>
      <w:r>
        <w:rPr>
          <w:color w:val="2E5BFF"/>
        </w:rPr>
        <w:t xml:space="preserve">Policy board (table)</w:t>
      </w:r>
    </w:p>
    <w:p>
      <w:pPr>
        <w:spacing w:after="80"/>
        <w:ind w:left="200"/>
      </w:pPr>
      <w:r>
        <w:rPr>
          <w:b/>
          <w:bCs/>
          <w:color w:val="1F2A44"/>
          <w:sz w:val="20"/>
          <w:szCs w:val="20"/>
        </w:rPr>
        <w:t xml:space="preserve">Purpose —  </w:t>
      </w:r>
      <w:r>
        <w:rPr>
          <w:sz w:val="20"/>
          <w:szCs w:val="20"/>
        </w:rPr>
        <w:t xml:space="preserve">The rulebook: each markdown policy's scope, trigger, ladder, floor, and status — including MD-004, the delayed-ladder variant currently in test.</w:t>
      </w:r>
    </w:p>
    <w:p>
      <w:pPr>
        <w:spacing w:after="80"/>
        <w:ind w:left="200"/>
      </w:pPr>
      <w:r>
        <w:rPr>
          <w:b/>
          <w:bCs/>
          <w:color w:val="1F2A44"/>
          <w:sz w:val="20"/>
          <w:szCs w:val="20"/>
        </w:rPr>
        <w:t xml:space="preserve">Logic —  </w:t>
      </w:r>
      <w:r>
        <w:rPr>
          <w:sz w:val="20"/>
          <w:szCs w:val="20"/>
        </w:rPr>
        <w:t xml:space="preserve">Direct read of the policy registry.</w:t>
      </w:r>
    </w:p>
    <w:p>
      <w:pPr>
        <w:spacing w:after="80"/>
        <w:ind w:left="200"/>
      </w:pPr>
      <w:r>
        <w:rPr>
          <w:b/>
          <w:bCs/>
          <w:color w:val="1F2A44"/>
          <w:sz w:val="20"/>
          <w:szCs w:val="20"/>
        </w:rPr>
        <w:t xml:space="preserve">Data —  </w:t>
      </w:r>
      <w:r>
        <w:rPr>
          <w:sz w:val="20"/>
          <w:szCs w:val="20"/>
        </w:rPr>
        <w:t xml:space="preserve">markdown_policy (registry table).</w:t>
      </w:r>
    </w:p>
    <w:p>
      <w:pPr>
        <w:pStyle w:val="Heading2"/>
        <w:spacing w:after="60" w:before="220"/>
      </w:pPr>
      <w:r>
        <w:rPr>
          <w:color w:val="2E5BFF"/>
        </w:rPr>
        <w:t xml:space="preserve">Timing experiments (cards)</w:t>
      </w:r>
    </w:p>
    <w:p>
      <w:pPr>
        <w:spacing w:after="80"/>
        <w:ind w:left="200"/>
      </w:pPr>
      <w:r>
        <w:rPr>
          <w:b/>
          <w:bCs/>
          <w:color w:val="1F2A44"/>
          <w:sz w:val="20"/>
          <w:szCs w:val="20"/>
        </w:rPr>
        <w:t xml:space="preserve">Purpose —  </w:t>
      </w:r>
      <w:r>
        <w:rPr>
          <w:sz w:val="20"/>
          <w:szCs w:val="20"/>
        </w:rPr>
        <w:t xml:space="preserve">Markdown timing treated as a testable hypothesis, not a habit. Each card: the hypothesis, the measured result, the AI summary, and the rollout decision.</w:t>
      </w:r>
    </w:p>
    <w:p>
      <w:pPr>
        <w:spacing w:after="80"/>
        <w:ind w:left="200"/>
      </w:pPr>
      <w:r>
        <w:rPr>
          <w:b/>
          <w:bCs/>
          <w:color w:val="1F2A44"/>
          <w:sz w:val="20"/>
          <w:szCs w:val="20"/>
        </w:rPr>
        <w:t xml:space="preserve">Logic —  </w:t>
      </w:r>
      <w:r>
        <w:rPr>
          <w:sz w:val="20"/>
          <w:szCs w:val="20"/>
        </w:rPr>
        <w:t xml:space="preserve">Direct read of the experiments registry, filtered to markdown/rainwear tests.</w:t>
      </w:r>
    </w:p>
    <w:p>
      <w:pPr>
        <w:spacing w:after="80"/>
        <w:ind w:left="200"/>
      </w:pPr>
      <w:r>
        <w:rPr>
          <w:b/>
          <w:bCs/>
          <w:color w:val="1F2A44"/>
          <w:sz w:val="20"/>
          <w:szCs w:val="20"/>
        </w:rPr>
        <w:t xml:space="preserve">Data —  </w:t>
      </w:r>
      <w:r>
        <w:rPr>
          <w:sz w:val="20"/>
          <w:szCs w:val="20"/>
        </w:rPr>
        <w:t xml:space="preserve">experiments (registry table).</w:t>
      </w:r>
    </w:p>
    <w:p>
      <w:pPr>
        <w:pStyle w:val="Heading2"/>
        <w:spacing w:after="60" w:before="220"/>
      </w:pPr>
      <w:r>
        <w:rPr>
          <w:color w:val="2E5BFF"/>
        </w:rPr>
        <w:t xml:space="preserve">Markdown execution trail (table)</w:t>
      </w:r>
    </w:p>
    <w:p>
      <w:pPr>
        <w:spacing w:after="80"/>
        <w:ind w:left="200"/>
      </w:pPr>
      <w:r>
        <w:rPr>
          <w:b/>
          <w:bCs/>
          <w:color w:val="1F2A44"/>
          <w:sz w:val="20"/>
          <w:szCs w:val="20"/>
        </w:rPr>
        <w:t xml:space="preserve">Purpose —  </w:t>
      </w:r>
      <w:r>
        <w:rPr>
          <w:sz w:val="20"/>
          <w:szCs w:val="20"/>
        </w:rPr>
        <w:t xml:space="preserve">Each markdown event with its label-file status and per-store task completion — the last mile. A markdown that never got new shelf labels didn't happen.</w:t>
      </w:r>
    </w:p>
    <w:p>
      <w:pPr>
        <w:spacing w:after="80"/>
        <w:ind w:left="200"/>
      </w:pPr>
      <w:r>
        <w:rPr>
          <w:b/>
          <w:bCs/>
          <w:color w:val="1F2A44"/>
          <w:sz w:val="20"/>
          <w:szCs w:val="20"/>
        </w:rPr>
        <w:t xml:space="preserve">Logic —  </w:t>
      </w:r>
      <w:r>
        <w:rPr>
          <w:sz w:val="20"/>
          <w:szCs w:val="20"/>
        </w:rPr>
        <w:t xml:space="preserve">Markdown-type events from the pipeline with task rollups (done / total / overdue) and the label-file flag.</w:t>
      </w:r>
    </w:p>
    <w:p>
      <w:pPr>
        <w:spacing w:after="80"/>
        <w:ind w:left="200"/>
      </w:pPr>
      <w:r>
        <w:rPr>
          <w:b/>
          <w:bCs/>
          <w:color w:val="1F2A44"/>
          <w:sz w:val="20"/>
          <w:szCs w:val="20"/>
        </w:rPr>
        <w:t xml:space="preserve">Data —  </w:t>
      </w:r>
      <w:r>
        <w:rPr>
          <w:sz w:val="20"/>
          <w:szCs w:val="20"/>
        </w:rPr>
        <w:t xml:space="preserve">price_event_pipeline_v filtered to event_type = 'Markdown'.</w:t>
      </w:r>
    </w:p>
    <w:p>
      <w:r>
        <w:br w:type="page"/>
      </w:r>
    </w:p>
    <w:p>
      <w:pPr>
        <w:pStyle w:val="Heading1"/>
        <w:spacing w:after="120" w:before="300"/>
      </w:pPr>
      <w:r>
        <w:rPr>
          <w:color w:val="1F2A44"/>
        </w:rPr>
        <w:t xml:space="preserve">Module 9 — Team Communications &amp; Store Tasks</w:t>
      </w:r>
    </w:p>
    <w:p>
      <w:pPr>
        <w:spacing w:after="160"/>
      </w:pPr>
      <w:r>
        <w:rPr>
          <w:i/>
          <w:iCs/>
          <w:color w:val="5A6880"/>
          <w:sz w:val="21"/>
          <w:szCs w:val="21"/>
        </w:rPr>
        <w:t xml:space="preserve">Every upstream decision — a price change, a markdown, a transfer — lands here as an LLM-drafted, human-approved message and a store checklist with overdue escalation. Same alert pattern the client already knows from the labor module.</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Concepts to know: </w:t>
            </w:r>
            <w:r>
              <w:rPr>
                <w:sz w:val="19"/>
                <w:szCs w:val="19"/>
              </w:rPr>
              <w:t xml:space="preserve">Retail 'task management' is the category (Zipline is the best-known name): HQ decisions become store-level checklists with due dates, completion tracking, and escalation. The insight is that merchandising decisions are only real when a store associate physically does something — retags a shelf, builds an endcap, prints labels. 'LLM-drafted, human-approved' means the AI writes the store memo from the event's facts; a merchant approves before anything sends.</w:t>
            </w:r>
          </w:p>
          <w:p>
            <w:pPr>
              <w:spacing w:after="80"/>
            </w:pPr>
            <w:r>
              <w:rPr>
                <w:b/>
                <w:bCs/>
                <w:color w:val="1F2A44"/>
                <w:sz w:val="19"/>
                <w:szCs w:val="19"/>
              </w:rPr>
              <w:t xml:space="preserve">Client need: </w:t>
            </w:r>
            <w:r>
              <w:rPr>
                <w:sz w:val="19"/>
                <w:szCs w:val="19"/>
              </w:rPr>
              <w:t xml:space="preserve">Decisions die between HQ and 38 stores. WorkWorld has no systematic way to know whether store 14 actually retagged after the last price change. Overdue escalation to the district manager mirrors the alerting pattern from the labor module we already built them — familiarity is deliberate.</w:t>
            </w:r>
          </w:p>
          <w:p>
            <w:pPr>
              <w:spacing w:after="80"/>
            </w:pPr>
            <w:r>
              <w:rPr>
                <w:b/>
                <w:bCs/>
                <w:color w:val="1F2A44"/>
                <w:sz w:val="19"/>
                <w:szCs w:val="19"/>
              </w:rPr>
              <w:t xml:space="preserve">What to internalize: </w:t>
            </w:r>
            <w:r>
              <w:rPr>
                <w:sz w:val="19"/>
                <w:szCs w:val="19"/>
              </w:rPr>
              <w:t xml:space="preserve">This module is thin on analytics by design — it's the execution receipt for Modules 7 and 8. When demoing, trace one price event from Module 7 to its tasks here; that closed loop is the story.</w:t>
            </w:r>
          </w:p>
        </w:tc>
      </w:tr>
    </w:tbl>
    <w:p>
      <w:pPr>
        <w:spacing w:after="120"/>
      </w:pPr>
    </w:p>
    <w:p>
      <w:pPr>
        <w:pStyle w:val="Heading2"/>
        <w:spacing w:after="60" w:before="220"/>
      </w:pPr>
      <w:r>
        <w:rPr>
          <w:color w:val="2E5BFF"/>
        </w:rPr>
        <w:t xml:space="preserve">Task status KPIs</w:t>
      </w:r>
    </w:p>
    <w:p>
      <w:pPr>
        <w:spacing w:after="80"/>
        <w:ind w:left="200"/>
      </w:pPr>
      <w:r>
        <w:rPr>
          <w:b/>
          <w:bCs/>
          <w:color w:val="1F2A44"/>
          <w:sz w:val="20"/>
          <w:szCs w:val="20"/>
        </w:rPr>
        <w:t xml:space="preserve">Purpose —  </w:t>
      </w:r>
      <w:r>
        <w:rPr>
          <w:sz w:val="20"/>
          <w:szCs w:val="20"/>
        </w:rPr>
        <w:t xml:space="preserve">Store tasks by status at a glance; Overdue is highlighted because overdue tasks escalate to the district manager.</w:t>
      </w:r>
    </w:p>
    <w:p>
      <w:pPr>
        <w:spacing w:after="80"/>
        <w:ind w:left="200"/>
      </w:pPr>
      <w:r>
        <w:rPr>
          <w:b/>
          <w:bCs/>
          <w:color w:val="1F2A44"/>
          <w:sz w:val="20"/>
          <w:szCs w:val="20"/>
        </w:rPr>
        <w:t xml:space="preserve">Logic —  </w:t>
      </w:r>
      <w:r>
        <w:rPr>
          <w:sz w:val="20"/>
          <w:szCs w:val="20"/>
        </w:rPr>
        <w:t xml:space="preserve">Count of store tasks grouped by status.</w:t>
      </w:r>
    </w:p>
    <w:p>
      <w:pPr>
        <w:spacing w:after="80"/>
        <w:ind w:left="200"/>
      </w:pPr>
      <w:r>
        <w:rPr>
          <w:b/>
          <w:bCs/>
          <w:color w:val="1F2A44"/>
          <w:sz w:val="20"/>
          <w:szCs w:val="20"/>
        </w:rPr>
        <w:t xml:space="preserve">Data —  </w:t>
      </w:r>
      <w:r>
        <w:rPr>
          <w:sz w:val="20"/>
          <w:szCs w:val="20"/>
        </w:rPr>
        <w:t xml:space="preserve">task_board_v — store_tasks joined to dim_store.</w:t>
      </w:r>
    </w:p>
    <w:p>
      <w:pPr>
        <w:pStyle w:val="Heading2"/>
        <w:spacing w:after="60" w:before="220"/>
      </w:pPr>
      <w:r>
        <w:rPr>
          <w:color w:val="2E5BFF"/>
        </w:rPr>
        <w:t xml:space="preserve">Open task board (table)</w:t>
      </w:r>
    </w:p>
    <w:p>
      <w:pPr>
        <w:spacing w:after="80"/>
        <w:ind w:left="200"/>
      </w:pPr>
      <w:r>
        <w:rPr>
          <w:b/>
          <w:bCs/>
          <w:color w:val="1F2A44"/>
          <w:sz w:val="20"/>
          <w:szCs w:val="20"/>
        </w:rPr>
        <w:t xml:space="preserve">Purpose —  </w:t>
      </w:r>
      <w:r>
        <w:rPr>
          <w:sz w:val="20"/>
          <w:szCs w:val="20"/>
        </w:rPr>
        <w:t xml:space="preserve">The live task list, overdue first: which store, what kind of task (retag, endcap, label print, transfer), and when it was due. Tasks are born automatically from events in Modules 7 and 8 — nobody typed them in.</w:t>
      </w:r>
    </w:p>
    <w:p>
      <w:pPr>
        <w:spacing w:after="80"/>
        <w:ind w:left="200"/>
      </w:pPr>
      <w:r>
        <w:rPr>
          <w:b/>
          <w:bCs/>
          <w:color w:val="1F2A44"/>
          <w:sz w:val="20"/>
          <w:szCs w:val="20"/>
        </w:rPr>
        <w:t xml:space="preserve">Logic —  </w:t>
      </w:r>
      <w:r>
        <w:rPr>
          <w:sz w:val="20"/>
          <w:szCs w:val="20"/>
        </w:rPr>
        <w:t xml:space="preserve">Open (not-Done) tasks sorted overdue-first, then by due date.</w:t>
      </w:r>
    </w:p>
    <w:p>
      <w:pPr>
        <w:spacing w:after="80"/>
        <w:ind w:left="200"/>
      </w:pPr>
      <w:r>
        <w:rPr>
          <w:b/>
          <w:bCs/>
          <w:color w:val="1F2A44"/>
          <w:sz w:val="20"/>
          <w:szCs w:val="20"/>
        </w:rPr>
        <w:t xml:space="preserve">Data —  </w:t>
      </w:r>
      <w:r>
        <w:rPr>
          <w:sz w:val="20"/>
          <w:szCs w:val="20"/>
        </w:rPr>
        <w:t xml:space="preserve">task_board_v; the linkage back to the originating event is the related_event column on store_tasks.</w:t>
      </w:r>
    </w:p>
    <w:p>
      <w:r>
        <w:br w:type="page"/>
      </w:r>
    </w:p>
    <w:p>
      <w:pPr>
        <w:pStyle w:val="Heading1"/>
        <w:spacing w:after="120" w:before="300"/>
      </w:pPr>
      <w:r>
        <w:rPr>
          <w:color w:val="1F2A44"/>
        </w:rPr>
        <w:t xml:space="preserve">Module 10 — Admin &amp; Data Health</w:t>
      </w:r>
    </w:p>
    <w:p>
      <w:pPr>
        <w:spacing w:after="160"/>
      </w:pPr>
      <w:r>
        <w:rPr>
          <w:i/>
          <w:iCs/>
          <w:color w:val="5A6880"/>
          <w:sz w:val="21"/>
          <w:szCs w:val="21"/>
        </w:rPr>
        <w:t xml:space="preserve">The housekeeping made visible: which tables feed automatically, which are manually maintained, how fresh each one is, and who owns it. This is the honest slide — sustainable analytics means knowing where the manual effort lives.</w:t>
      </w:r>
    </w:p>
    <w:tbl>
      <w:tblPr>
        <w:tblW w:type="dxa" w:w="9720"/>
        <w:tblBorders>
          <w:top w:val="single" w:color="C9D6EC" w:sz="4"/>
          <w:left w:val="single" w:color="2E5BFF" w:sz="24"/>
          <w:bottom w:val="single" w:color="C9D6EC" w:sz="4"/>
          <w:right w:val="single" w:color="C9D6EC" w:sz="4"/>
          <w:insideH w:val="none"/>
          <w:insideV w:val="none"/>
        </w:tblBorders>
      </w:tblPr>
      <w:tblGrid>
        <w:gridCol w:w="9720"/>
      </w:tblGrid>
      <w:tr>
        <w:tc>
          <w:tcPr>
            <w:tcW w:type="dxa" w:w="9720"/>
            <w:shd w:fill="EEF3FF" w:val="clear"/>
            <w:tcMar>
              <w:top w:type="dxa" w:w="140"/>
              <w:left w:type="dxa" w:w="220"/>
              <w:bottom w:type="dxa" w:w="60"/>
              <w:right w:type="dxa" w:w="220"/>
            </w:tcMar>
          </w:tcPr>
          <w:p>
            <w:pPr>
              <w:spacing w:after="100"/>
            </w:pPr>
            <w:r>
              <w:rPr>
                <w:b/>
                <w:bCs/>
                <w:caps/>
                <w:color w:val="2E5BFF"/>
                <w:sz w:val="18"/>
                <w:szCs w:val="18"/>
              </w:rPr>
              <w:t xml:space="preserve">FOR THE SOLUTIONSET TEAM — internal background, not client-facing</w:t>
            </w:r>
          </w:p>
          <w:p>
            <w:pPr>
              <w:spacing w:after="80"/>
            </w:pPr>
            <w:r>
              <w:rPr>
                <w:b/>
                <w:bCs/>
                <w:color w:val="1F2A44"/>
                <w:sz w:val="19"/>
                <w:szCs w:val="19"/>
              </w:rPr>
              <w:t xml:space="preserve">Concepts to know: </w:t>
            </w:r>
            <w:r>
              <w:rPr>
                <w:sz w:val="19"/>
                <w:szCs w:val="19"/>
              </w:rPr>
              <w:t xml:space="preserve">Every analytics platform runs on a mix of automated feeds (POS sales landing nightly) and manually maintained reference data (size curves, item cross-references, vendor terms someone keys in). The manual tables are where data quality quietly dies — someone leaves, the spreadsheet stops being updated, and six months later the 'automated' insights are wrong. Data stewardship = making ownership and cadence explicit.</w:t>
            </w:r>
          </w:p>
          <w:p>
            <w:pPr>
              <w:spacing w:after="80"/>
            </w:pPr>
            <w:r>
              <w:rPr>
                <w:b/>
                <w:bCs/>
                <w:color w:val="1F2A44"/>
                <w:sz w:val="19"/>
                <w:szCs w:val="19"/>
              </w:rPr>
              <w:t xml:space="preserve">Client need: </w:t>
            </w:r>
            <w:r>
              <w:rPr>
                <w:sz w:val="19"/>
                <w:szCs w:val="19"/>
              </w:rPr>
              <w:t xml:space="preserve">WorkWorld has been burned by reports that drifted from reality. Showing them the manual/feed split up front — with owners and last-load timestamps — is a trust move, and it doubles as our own implementation punch list (every orange row is future automation work, i.e., roadmap and revenue).</w:t>
            </w:r>
          </w:p>
          <w:p>
            <w:pPr>
              <w:spacing w:after="80"/>
            </w:pPr>
            <w:r>
              <w:rPr>
                <w:b/>
                <w:bCs/>
                <w:color w:val="1F2A44"/>
                <w:sz w:val="19"/>
                <w:szCs w:val="19"/>
              </w:rPr>
              <w:t xml:space="preserve">What to internalize: </w:t>
            </w:r>
            <w:r>
              <w:rPr>
                <w:sz w:val="19"/>
                <w:szCs w:val="19"/>
              </w:rPr>
              <w:t xml:space="preserve">Don't skip this module in demos to owners — ending on honesty lands better than ending on fireworks. Point at item_crossref specifically: its completeness is what the ATS match rate in Module 4 depends on, which proves the modules are one connected system.</w:t>
            </w:r>
          </w:p>
        </w:tc>
      </w:tr>
    </w:tbl>
    <w:p>
      <w:pPr>
        <w:spacing w:after="120"/>
      </w:pPr>
    </w:p>
    <w:p>
      <w:pPr>
        <w:pStyle w:val="Heading2"/>
        <w:spacing w:after="60" w:before="220"/>
      </w:pPr>
      <w:r>
        <w:rPr>
          <w:color w:val="2E5BFF"/>
        </w:rPr>
        <w:t xml:space="preserve">Table registry &amp; feed freshness (table)</w:t>
      </w:r>
    </w:p>
    <w:p>
      <w:pPr>
        <w:spacing w:after="80"/>
        <w:ind w:left="200"/>
      </w:pPr>
      <w:r>
        <w:rPr>
          <w:b/>
          <w:bCs/>
          <w:color w:val="1F2A44"/>
          <w:sz w:val="20"/>
          <w:szCs w:val="20"/>
        </w:rPr>
        <w:t xml:space="preserve">Purpose —  </w:t>
      </w:r>
      <w:r>
        <w:rPr>
          <w:sz w:val="20"/>
          <w:szCs w:val="20"/>
        </w:rPr>
        <w:t xml:space="preserve">Every table in the schema with its source, cadence, owner, and last load. Orange rows are manually managed or seeded — the work stream to shrink over time. Point to item_crossref here: its completeness is what the ATS match rate in Module 4 depends on.</w:t>
      </w:r>
    </w:p>
    <w:p>
      <w:pPr>
        <w:spacing w:after="80"/>
        <w:ind w:left="200"/>
      </w:pPr>
      <w:r>
        <w:rPr>
          <w:b/>
          <w:bCs/>
          <w:color w:val="1F2A44"/>
          <w:sz w:val="20"/>
          <w:szCs w:val="20"/>
        </w:rPr>
        <w:t xml:space="preserve">Logic —  </w:t>
      </w:r>
      <w:r>
        <w:rPr>
          <w:sz w:val="20"/>
          <w:szCs w:val="20"/>
        </w:rPr>
        <w:t xml:space="preserve">Direct read of the registry; manual rows sort to the top deliberately.</w:t>
      </w:r>
    </w:p>
    <w:p>
      <w:pPr>
        <w:spacing w:after="80"/>
        <w:ind w:left="200"/>
      </w:pPr>
      <w:r>
        <w:rPr>
          <w:b/>
          <w:bCs/>
          <w:color w:val="1F2A44"/>
          <w:sz w:val="20"/>
          <w:szCs w:val="20"/>
        </w:rPr>
        <w:t xml:space="preserve">Data —  </w:t>
      </w:r>
      <w:r>
        <w:rPr>
          <w:sz w:val="20"/>
          <w:szCs w:val="20"/>
        </w:rPr>
        <w:t xml:space="preserve">data_health (registry table).</w:t>
      </w:r>
    </w:p>
    <w:p>
      <w:r>
        <w:br w:type="page"/>
      </w:r>
    </w:p>
    <w:p>
      <w:pPr>
        <w:pStyle w:val="Heading1"/>
        <w:spacing w:after="120" w:before="300"/>
      </w:pPr>
      <w:r>
        <w:rPr>
          <w:color w:val="1F2A44"/>
        </w:rPr>
        <w:t xml:space="preserve">Common questions &amp; one-line answers</w:t>
      </w:r>
    </w:p>
    <w:p>
      <w:pPr>
        <w:pStyle w:val="ListParagraph"/>
        <w:numPr>
          <w:ilvl w:val="0"/>
          <w:numId w:val="2"/>
        </w:numPr>
        <w:spacing w:after="60"/>
      </w:pPr>
      <w:r>
        <w:rPr>
          <w:sz w:val="20"/>
          <w:szCs w:val="20"/>
        </w:rPr>
        <w:t xml:space="preserve">"Is this our data?" — No; generated demo data anchored to 2026-07-14, shaped to realistic patterns (38 stores, replenishment-heavy mix, weather-driven demand). The pipes are real; the numbers are not.</w:t>
      </w:r>
    </w:p>
    <w:p>
      <w:pPr>
        <w:pStyle w:val="ListParagraph"/>
        <w:numPr>
          <w:ilvl w:val="0"/>
          <w:numId w:val="2"/>
        </w:numPr>
        <w:spacing w:after="60"/>
      </w:pPr>
      <w:r>
        <w:rPr>
          <w:sz w:val="20"/>
          <w:szCs w:val="20"/>
        </w:rPr>
        <w:t xml:space="preserve">"Where do these numbers come from?" — Every visual reads a named Databricks view; the views are exported in the repo (sql/20_views.sql) and any number on screen is reproducible with a SELECT.</w:t>
      </w:r>
    </w:p>
    <w:p>
      <w:pPr>
        <w:pStyle w:val="ListParagraph"/>
        <w:numPr>
          <w:ilvl w:val="0"/>
          <w:numId w:val="2"/>
        </w:numPr>
        <w:spacing w:after="60"/>
      </w:pPr>
      <w:r>
        <w:rPr>
          <w:sz w:val="20"/>
          <w:szCs w:val="20"/>
        </w:rPr>
        <w:t xml:space="preserve">"Can the app change our data?" — No. The backend enforces single-statement, SELECT-only queries against a whitelist of 27 objects, and the app's service principal has read-only grants — write access doesn't exist at any layer.</w:t>
      </w:r>
    </w:p>
    <w:p>
      <w:pPr>
        <w:pStyle w:val="ListParagraph"/>
        <w:numPr>
          <w:ilvl w:val="0"/>
          <w:numId w:val="2"/>
        </w:numPr>
        <w:spacing w:after="60"/>
      </w:pPr>
      <w:r>
        <w:rPr>
          <w:sz w:val="20"/>
          <w:szCs w:val="20"/>
        </w:rPr>
        <w:t xml:space="preserve">"What's AI vs. math?" — The scoring, matching, and forecast math is deterministic SQL. AI appears where judgment is drafted for a human: exception resolutions, deal recommendations, experiment summaries, and store comms — always approve-before-send.</w:t>
      </w:r>
    </w:p>
    <w:p>
      <w:pPr>
        <w:pStyle w:val="ListParagraph"/>
        <w:numPr>
          <w:ilvl w:val="0"/>
          <w:numId w:val="2"/>
        </w:numPr>
        <w:spacing w:after="60"/>
      </w:pPr>
      <w:r>
        <w:rPr>
          <w:sz w:val="20"/>
          <w:szCs w:val="20"/>
        </w:rPr>
        <w:t xml:space="preserve">"What would production change?" — Swap the demo anchor date for current_date(), point at the client's catalog, replace generated tables with real feeds (the Data Health registry is the punch list), and harden the free-SQL endpoint into named APIs.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6EC" w:sz="6" w:space="4"/>
      </w:pBdr>
      <w:spacing w:after="120" w:before="300"/>
    </w:pPr>
    <w:rPr>
      <w:rFonts w:ascii="Calibri" w:cs="Calibri" w:eastAsia="Calibri" w:hAnsi="Calibri"/>
      <w:b/>
      <w:bCs/>
      <w:color w:val="1F2A44"/>
      <w:sz w:val="30"/>
      <w:szCs w:val="30"/>
    </w:rPr>
  </w:style>
  <w:style w:type="paragraph" w:styleId="Heading2">
    <w:name w:val="Heading 2"/>
    <w:basedOn w:val="Normal"/>
    <w:next w:val="Normal"/>
    <w:qFormat/>
    <w:pPr>
      <w:spacing w:after="60" w:before="220"/>
    </w:pPr>
    <w:rPr>
      <w:rFonts w:ascii="Calibri" w:cs="Calibri" w:eastAsia="Calibri" w:hAnsi="Calibri"/>
      <w:b/>
      <w:bCs/>
      <w:color w:val="2E5B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dec62fa6160425d033ee5d1452fdd0fdc3b967.png"/><Relationship Id="rId8" Type="http://schemas.openxmlformats.org/officeDocument/2006/relationships/image" Target="media/089d551d607806905fae3ae14430ceb0b808f957.png"/><Relationship Id="rId9" Type="http://schemas.openxmlformats.org/officeDocument/2006/relationships/image" Target="media/ab5adf8fce01e7826d5ec1496d759960f6cfee4d.png"/><Relationship Id="rId10" Type="http://schemas.openxmlformats.org/officeDocument/2006/relationships/image" Target="media/7729c94fb8d2d848c62accd68d16da6b31dae501.png"/><Relationship Id="rId11" Type="http://schemas.openxmlformats.org/officeDocument/2006/relationships/image" Target="media/bdf5d4d7cadf109cf03cc0febc756e4f44172559.png"/><Relationship Id="rId12" Type="http://schemas.openxmlformats.org/officeDocument/2006/relationships/image" Target="media/08d99c692a7b5750551af40e437167b7be39896c.png"/><Relationship Id="rId13" Type="http://schemas.openxmlformats.org/officeDocument/2006/relationships/image" Target="media/3740e282c6aa99201da5e50681dfb54dedc03fe2.png"/><Relationship Id="rId14" Type="http://schemas.openxmlformats.org/officeDocument/2006/relationships/image" Target="media/140880885a396ee40793728b61dd348fd0b8f073.png"/><Relationship Id="rId15" Type="http://schemas.openxmlformats.org/officeDocument/2006/relationships/image" Target="media/a940244dfd4ce015ea188413b4355206380e5df3.png"/><Relationship Id="rId16" Type="http://schemas.openxmlformats.org/officeDocument/2006/relationships/image" Target="media/ae9e12cbe93aaed2563d0aa9fea8155b2d5a4430.png"/><Relationship Id="rId17" Type="http://schemas.openxmlformats.org/officeDocument/2006/relationships/image" Target="media/2f0036c07fc58b0ac5b831f44189f5d5aadb2950.png"/><Relationship Id="rId18" Type="http://schemas.openxmlformats.org/officeDocument/2006/relationships/image" Target="media/ff74763af33a860fa344af98c3c10232578f606e.png"/><Relationship Id="rId19" Type="http://schemas.openxmlformats.org/officeDocument/2006/relationships/image" Target="media/e2f01415f12d1dd6e3b4f74998712dee88db36d7.png"/><Relationship Id="rId20" Type="http://schemas.openxmlformats.org/officeDocument/2006/relationships/image" Target="media/cb2ac79a4e2cb4d6e84970f2a0ed6ef4caea1d18.png"/><Relationship Id="rId21" Type="http://schemas.openxmlformats.org/officeDocument/2006/relationships/image" Target="media/02ee68319ba58d3457841a8ca174d0f9403ee4b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2026-07-16T16:06:52.778Z</dcterms:created>
  <dcterms:modified xsi:type="dcterms:W3CDTF">2026-07-16T16:06:52.780Z</dcterms:modified>
</cp:coreProperties>
</file>

<file path=docProps/custom.xml><?xml version="1.0" encoding="utf-8"?>
<Properties xmlns="http://schemas.openxmlformats.org/officeDocument/2006/custom-properties" xmlns:vt="http://schemas.openxmlformats.org/officeDocument/2006/docPropsVTypes"/>
</file>