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B057E" w14:textId="77777777" w:rsidR="00325A98" w:rsidRDefault="00000000">
      <w:pPr>
        <w:pStyle w:val="Title"/>
      </w:pPr>
      <w:r>
        <w:t>Supplementary materials</w:t>
      </w:r>
    </w:p>
    <w:p w14:paraId="60FEB419" w14:textId="06FEB780" w:rsidR="00325A98" w:rsidRDefault="00000000">
      <w:pPr>
        <w:pStyle w:val="Heading2"/>
      </w:pPr>
      <w:bookmarkStart w:id="0" w:name="X92071465d31b445f9768a7583c63bcf3ccf451f"/>
      <w:r>
        <w:t>Descriptive statistics for dependent measures in the lexical vs. grammatical condition</w:t>
      </w:r>
    </w:p>
    <w:p w14:paraId="2650108E" w14:textId="77777777" w:rsidR="00325A98" w:rsidRDefault="00000000">
      <w:pPr>
        <w:pStyle w:val="FirstParagraph"/>
      </w:pPr>
      <w:r>
        <w:t>Descriptive statistics (means and standard deviations) for the three dependent measures: skipping probability, first fixation duration, and gaze duration. These values represent raw means and standard deviations and are not adjusted for suffix frequency, length, predictability, or participant variability. These factors are accounted for in the mixed-effects models reported in the main text.</w:t>
      </w:r>
    </w:p>
    <w:p w14:paraId="6897D985" w14:textId="77777777" w:rsidR="00325A98" w:rsidRDefault="00000000">
      <w:pPr>
        <w:pStyle w:val="TableCaption"/>
      </w:pPr>
      <w:bookmarkStart w:id="1" w:name="tab:descriptivestats"/>
      <w:bookmarkEnd w:id="1"/>
      <w:r>
        <w:t>Table 1: Descriptive statistics for eye-movement measures by suffix type</w:t>
      </w:r>
    </w:p>
    <w:tbl>
      <w:tblPr>
        <w:tblStyle w:val="Table"/>
        <w:tblW w:w="0" w:type="auto"/>
        <w:jc w:val="center"/>
        <w:tblLayout w:type="fixed"/>
        <w:tblLook w:val="0420" w:firstRow="1" w:lastRow="0" w:firstColumn="0" w:lastColumn="0" w:noHBand="0" w:noVBand="1"/>
      </w:tblPr>
      <w:tblGrid>
        <w:gridCol w:w="3007"/>
        <w:gridCol w:w="2518"/>
        <w:gridCol w:w="1956"/>
      </w:tblGrid>
      <w:tr w:rsidR="00325A98" w14:paraId="0036E50E" w14:textId="77777777" w:rsidTr="00325A98">
        <w:trPr>
          <w:cnfStyle w:val="100000000000" w:firstRow="1" w:lastRow="0" w:firstColumn="0" w:lastColumn="0" w:oddVBand="0" w:evenVBand="0" w:oddHBand="0" w:evenHBand="0" w:firstRowFirstColumn="0" w:firstRowLastColumn="0" w:lastRowFirstColumn="0" w:lastRowLastColumn="0"/>
          <w:jc w:val="center"/>
        </w:trPr>
        <w:tc>
          <w:tcPr>
            <w:tcW w:w="3007"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2480BD87"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measure</w:t>
            </w:r>
          </w:p>
        </w:tc>
        <w:tc>
          <w:tcPr>
            <w:tcW w:w="251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79F3A155"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Grammatical suffixes</w:t>
            </w:r>
          </w:p>
        </w:tc>
        <w:tc>
          <w:tcPr>
            <w:tcW w:w="195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12812A0D"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Lexical suffixes</w:t>
            </w:r>
          </w:p>
        </w:tc>
      </w:tr>
      <w:tr w:rsidR="00325A98" w14:paraId="3838F702" w14:textId="77777777" w:rsidTr="00325A98">
        <w:trPr>
          <w:jc w:val="center"/>
        </w:trPr>
        <w:tc>
          <w:tcPr>
            <w:tcW w:w="3007"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FE03A1"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Skipping probability</w:t>
            </w:r>
          </w:p>
        </w:tc>
        <w:tc>
          <w:tcPr>
            <w:tcW w:w="251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DE2483"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0.07 (0.26)</w:t>
            </w:r>
          </w:p>
        </w:tc>
        <w:tc>
          <w:tcPr>
            <w:tcW w:w="195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2B8277"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0.10 (0.31)</w:t>
            </w:r>
          </w:p>
        </w:tc>
      </w:tr>
      <w:tr w:rsidR="00325A98" w14:paraId="1BF99F3B" w14:textId="77777777" w:rsidTr="00325A98">
        <w:trPr>
          <w:jc w:val="center"/>
        </w:trPr>
        <w:tc>
          <w:tcPr>
            <w:tcW w:w="3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68D13A"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First fixation duration (ms)</w:t>
            </w:r>
          </w:p>
        </w:tc>
        <w:tc>
          <w:tcPr>
            <w:tcW w:w="25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2FA58A"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245 (97)</w:t>
            </w:r>
          </w:p>
        </w:tc>
        <w:tc>
          <w:tcPr>
            <w:tcW w:w="19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EE888F"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253 (104)</w:t>
            </w:r>
          </w:p>
        </w:tc>
      </w:tr>
      <w:tr w:rsidR="00325A98" w14:paraId="024D2C11" w14:textId="77777777" w:rsidTr="00325A98">
        <w:trPr>
          <w:jc w:val="center"/>
        </w:trPr>
        <w:tc>
          <w:tcPr>
            <w:tcW w:w="3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5E66A3"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Gaze duration (ms)</w:t>
            </w:r>
          </w:p>
        </w:tc>
        <w:tc>
          <w:tcPr>
            <w:tcW w:w="25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944AA4"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392 (268)</w:t>
            </w:r>
          </w:p>
        </w:tc>
        <w:tc>
          <w:tcPr>
            <w:tcW w:w="19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003DBB"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384 (250)</w:t>
            </w:r>
          </w:p>
        </w:tc>
      </w:tr>
    </w:tbl>
    <w:p w14:paraId="65A048D6" w14:textId="77777777" w:rsidR="00325A98" w:rsidRDefault="00000000">
      <w:pPr>
        <w:pStyle w:val="Heading2"/>
      </w:pPr>
      <w:bookmarkStart w:id="2" w:name="X9096d13cf0502fcbb79fa8ef8eae01c097c6d00"/>
      <w:bookmarkEnd w:id="0"/>
      <w:r>
        <w:t>Relationship between fixation density and word length for fast vs. slow readers</w:t>
      </w:r>
    </w:p>
    <w:p w14:paraId="51173095" w14:textId="77777777" w:rsidR="00325A98" w:rsidRDefault="00000000">
      <w:pPr>
        <w:pStyle w:val="FirstParagraph"/>
      </w:pPr>
      <w:r>
        <w:t>For this plot, participants were divided into two equally sized groups based on reading speed.</w:t>
      </w:r>
    </w:p>
    <w:p w14:paraId="01AF91C2" w14:textId="77777777" w:rsidR="00325A98" w:rsidRDefault="00000000">
      <w:pPr>
        <w:pStyle w:val="BodyText"/>
      </w:pPr>
      <w:r>
        <w:rPr>
          <w:noProof/>
        </w:rPr>
        <w:lastRenderedPageBreak/>
        <w:drawing>
          <wp:inline distT="0" distB="0" distL="0" distR="0" wp14:anchorId="37A4488A" wp14:editId="347FB824">
            <wp:extent cx="5334000" cy="44450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paper_supplement_files/figure-docx/fixation%20density%20and%20word%20length%20-%20slow%20and%20fast%20readers-1.png"/>
                    <pic:cNvPicPr>
                      <a:picLocks noChangeAspect="1" noChangeArrowheads="1"/>
                    </pic:cNvPicPr>
                  </pic:nvPicPr>
                  <pic:blipFill>
                    <a:blip r:embed="rId5"/>
                    <a:stretch>
                      <a:fillRect/>
                    </a:stretch>
                  </pic:blipFill>
                  <pic:spPr bwMode="auto">
                    <a:xfrm>
                      <a:off x="0" y="0"/>
                      <a:ext cx="5334000" cy="4445000"/>
                    </a:xfrm>
                    <a:prstGeom prst="rect">
                      <a:avLst/>
                    </a:prstGeom>
                    <a:noFill/>
                    <a:ln w="9525">
                      <a:noFill/>
                      <a:headEnd/>
                      <a:tailEnd/>
                    </a:ln>
                  </pic:spPr>
                </pic:pic>
              </a:graphicData>
            </a:graphic>
          </wp:inline>
        </w:drawing>
      </w:r>
    </w:p>
    <w:p w14:paraId="477779D8" w14:textId="77777777" w:rsidR="00325A98" w:rsidRDefault="00000000">
      <w:r>
        <w:br w:type="page"/>
      </w:r>
    </w:p>
    <w:p w14:paraId="4D8A406B" w14:textId="77777777" w:rsidR="00325A98" w:rsidRDefault="00000000">
      <w:pPr>
        <w:pStyle w:val="Heading2"/>
      </w:pPr>
      <w:bookmarkStart w:id="3" w:name="Xe8112d6bcb3495940b17267e42e12a40901bdfb"/>
      <w:bookmarkEnd w:id="2"/>
      <w:r>
        <w:lastRenderedPageBreak/>
        <w:t>Quadratic model used to determine turning point</w:t>
      </w:r>
    </w:p>
    <w:p w14:paraId="4BD61765" w14:textId="77777777" w:rsidR="00325A98" w:rsidRDefault="00000000">
      <w:pPr>
        <w:pStyle w:val="FirstParagraph"/>
      </w:pPr>
      <w:r>
        <w:t>Quadratic mixed-effects model of fixation density as a function of word length.</w:t>
      </w:r>
    </w:p>
    <w:p w14:paraId="6F4C6551" w14:textId="77777777" w:rsidR="00325A98" w:rsidRDefault="00000000">
      <w:pPr>
        <w:pStyle w:val="SourceCode"/>
      </w:pPr>
      <w:r>
        <w:rPr>
          <w:rStyle w:val="NormalTok"/>
        </w:rPr>
        <w:t xml:space="preserve">model_fix_per_char_quadratic </w:t>
      </w:r>
      <w:r>
        <w:rPr>
          <w:rStyle w:val="OtherTok"/>
        </w:rPr>
        <w:t>&lt;-</w:t>
      </w:r>
      <w:r>
        <w:rPr>
          <w:rStyle w:val="NormalTok"/>
        </w:rPr>
        <w:t xml:space="preserve"> </w:t>
      </w:r>
      <w:r>
        <w:rPr>
          <w:rStyle w:val="FunctionTok"/>
        </w:rPr>
        <w:t>lmer</w:t>
      </w:r>
      <w:r>
        <w:rPr>
          <w:rStyle w:val="NormalTok"/>
        </w:rPr>
        <w:t xml:space="preserve">(   </w:t>
      </w:r>
      <w:r>
        <w:br/>
      </w:r>
      <w:r>
        <w:rPr>
          <w:rStyle w:val="NormalTok"/>
        </w:rPr>
        <w:t xml:space="preserve">  fixations_per_char </w:t>
      </w:r>
      <w:r>
        <w:rPr>
          <w:rStyle w:val="SpecialCharTok"/>
        </w:rPr>
        <w:t>~</w:t>
      </w:r>
      <w:r>
        <w:rPr>
          <w:rStyle w:val="NormalTok"/>
        </w:rPr>
        <w:t xml:space="preserve"> current_word_length </w:t>
      </w:r>
      <w:r>
        <w:rPr>
          <w:rStyle w:val="SpecialCharTok"/>
        </w:rPr>
        <w:t>+</w:t>
      </w:r>
      <w:r>
        <w:rPr>
          <w:rStyle w:val="NormalTok"/>
        </w:rPr>
        <w:t xml:space="preserve"> </w:t>
      </w:r>
      <w:r>
        <w:rPr>
          <w:rStyle w:val="FunctionTok"/>
        </w:rPr>
        <w:t>I</w:t>
      </w:r>
      <w:r>
        <w:rPr>
          <w:rStyle w:val="NormalTok"/>
        </w:rPr>
        <w:t>(current_word_length</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w:t>
      </w:r>
      <w:r>
        <w:rPr>
          <w:rStyle w:val="SpecialCharTok"/>
        </w:rPr>
        <w:t>|</w:t>
      </w:r>
      <w:r>
        <w:rPr>
          <w:rStyle w:val="NormalTok"/>
        </w:rPr>
        <w:t xml:space="preserve">participant_id),   </w:t>
      </w:r>
      <w:r>
        <w:br/>
      </w:r>
      <w:r>
        <w:rPr>
          <w:rStyle w:val="NormalTok"/>
        </w:rPr>
        <w:t xml:space="preserve">  </w:t>
      </w:r>
      <w:r>
        <w:rPr>
          <w:rStyle w:val="AttributeTok"/>
        </w:rPr>
        <w:t>data =</w:t>
      </w:r>
      <w:r>
        <w:rPr>
          <w:rStyle w:val="NormalTok"/>
        </w:rPr>
        <w:t xml:space="preserve"> fixations_per_char_words)  </w:t>
      </w:r>
      <w:r>
        <w:br/>
      </w:r>
      <w:r>
        <w:br/>
      </w:r>
      <w:r>
        <w:rPr>
          <w:rStyle w:val="CommentTok"/>
        </w:rPr>
        <w:t xml:space="preserve"># calculate turning point </w:t>
      </w:r>
      <w:r>
        <w:br/>
      </w:r>
      <w:r>
        <w:rPr>
          <w:rStyle w:val="NormalTok"/>
        </w:rPr>
        <w:t xml:space="preserve">coefs </w:t>
      </w:r>
      <w:r>
        <w:rPr>
          <w:rStyle w:val="OtherTok"/>
        </w:rPr>
        <w:t>&lt;-</w:t>
      </w:r>
      <w:r>
        <w:rPr>
          <w:rStyle w:val="NormalTok"/>
        </w:rPr>
        <w:t xml:space="preserve"> </w:t>
      </w:r>
      <w:r>
        <w:rPr>
          <w:rStyle w:val="FunctionTok"/>
        </w:rPr>
        <w:t>fixef</w:t>
      </w:r>
      <w:r>
        <w:rPr>
          <w:rStyle w:val="NormalTok"/>
        </w:rPr>
        <w:t xml:space="preserve">(model_fix_per_char_quadratic) </w:t>
      </w:r>
      <w:r>
        <w:br/>
      </w:r>
      <w:r>
        <w:rPr>
          <w:rStyle w:val="NormalTok"/>
        </w:rPr>
        <w:t xml:space="preserve">a </w:t>
      </w:r>
      <w:r>
        <w:rPr>
          <w:rStyle w:val="OtherTok"/>
        </w:rPr>
        <w:t>&lt;-</w:t>
      </w:r>
      <w:r>
        <w:rPr>
          <w:rStyle w:val="NormalTok"/>
        </w:rPr>
        <w:t xml:space="preserve"> coefs[</w:t>
      </w:r>
      <w:r>
        <w:rPr>
          <w:rStyle w:val="StringTok"/>
        </w:rPr>
        <w:t>"I(current_word_length^2)"</w:t>
      </w:r>
      <w:r>
        <w:rPr>
          <w:rStyle w:val="NormalTok"/>
        </w:rPr>
        <w:t xml:space="preserve">] </w:t>
      </w:r>
      <w:r>
        <w:br/>
      </w:r>
      <w:r>
        <w:rPr>
          <w:rStyle w:val="NormalTok"/>
        </w:rPr>
        <w:t xml:space="preserve">b </w:t>
      </w:r>
      <w:r>
        <w:rPr>
          <w:rStyle w:val="OtherTok"/>
        </w:rPr>
        <w:t>&lt;-</w:t>
      </w:r>
      <w:r>
        <w:rPr>
          <w:rStyle w:val="NormalTok"/>
        </w:rPr>
        <w:t xml:space="preserve"> coefs[</w:t>
      </w:r>
      <w:r>
        <w:rPr>
          <w:rStyle w:val="StringTok"/>
        </w:rPr>
        <w:t>"current_word_length"</w:t>
      </w:r>
      <w:r>
        <w:rPr>
          <w:rStyle w:val="NormalTok"/>
        </w:rPr>
        <w:t xml:space="preserve">] </w:t>
      </w:r>
      <w:r>
        <w:br/>
      </w:r>
      <w:r>
        <w:rPr>
          <w:rStyle w:val="NormalTok"/>
        </w:rPr>
        <w:t xml:space="preserve">turning_point </w:t>
      </w:r>
      <w:r>
        <w:rPr>
          <w:rStyle w:val="OtherTok"/>
        </w:rPr>
        <w:t>&lt;-</w:t>
      </w:r>
      <w:r>
        <w:rPr>
          <w:rStyle w:val="NormalTok"/>
        </w:rPr>
        <w:t xml:space="preserve"> </w:t>
      </w:r>
      <w:r>
        <w:rPr>
          <w:rStyle w:val="SpecialCharTok"/>
        </w:rPr>
        <w:t>-</w:t>
      </w:r>
      <w:r>
        <w:rPr>
          <w:rStyle w:val="NormalTok"/>
        </w:rPr>
        <w:t xml:space="preserve">b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a) </w:t>
      </w:r>
      <w:r>
        <w:br/>
      </w:r>
      <w:r>
        <w:rPr>
          <w:rStyle w:val="NormalTok"/>
        </w:rPr>
        <w:t>turning_point</w:t>
      </w:r>
    </w:p>
    <w:p w14:paraId="60D7B648" w14:textId="77777777" w:rsidR="00325A98" w:rsidRDefault="00000000">
      <w:pPr>
        <w:pStyle w:val="SourceCode"/>
      </w:pPr>
      <w:r>
        <w:rPr>
          <w:rStyle w:val="VerbatimChar"/>
        </w:rPr>
        <w:t xml:space="preserve">## current_word_length </w:t>
      </w:r>
      <w:r>
        <w:br/>
      </w:r>
      <w:r>
        <w:rPr>
          <w:rStyle w:val="VerbatimChar"/>
        </w:rPr>
        <w:t>##            9.192402</w:t>
      </w:r>
    </w:p>
    <w:p w14:paraId="4E78CAB0" w14:textId="77777777" w:rsidR="00325A98" w:rsidRDefault="00000000">
      <w:pPr>
        <w:pStyle w:val="FirstParagraph"/>
      </w:pPr>
      <w:r>
        <w:t>The estimated turning point occurred at a word length of 9.2 letters.</w:t>
      </w:r>
    </w:p>
    <w:p w14:paraId="0B04964F" w14:textId="77777777" w:rsidR="00325A98" w:rsidRDefault="00000000">
      <w:pPr>
        <w:pStyle w:val="Heading2"/>
      </w:pPr>
      <w:bookmarkStart w:id="4" w:name="Xfca0475eda6a7403a5887a970f85d1e633342c0"/>
      <w:bookmarkEnd w:id="3"/>
      <w:r>
        <w:t>Model of fixation density across word regions and baseline words</w:t>
      </w:r>
    </w:p>
    <w:p w14:paraId="4A071C68" w14:textId="77777777" w:rsidR="00325A98" w:rsidRDefault="00000000">
      <w:pPr>
        <w:pStyle w:val="FirstParagraph"/>
      </w:pPr>
      <w:r>
        <w:t>Mixed-effects model of fixation density with word region, region frequency, and region length as fixed effects, and random intercepts for participants.</w:t>
      </w:r>
    </w:p>
    <w:tbl>
      <w:tblPr>
        <w:tblStyle w:val="Table"/>
        <w:tblW w:w="0" w:type="auto"/>
        <w:jc w:val="center"/>
        <w:tblLayout w:type="fixed"/>
        <w:tblLook w:val="0420" w:firstRow="1" w:lastRow="0" w:firstColumn="0" w:lastColumn="0" w:noHBand="0" w:noVBand="1"/>
      </w:tblPr>
      <w:tblGrid>
        <w:gridCol w:w="2580"/>
        <w:gridCol w:w="965"/>
        <w:gridCol w:w="1015"/>
        <w:gridCol w:w="965"/>
        <w:gridCol w:w="1143"/>
      </w:tblGrid>
      <w:tr w:rsidR="00325A98" w14:paraId="64F7E21F" w14:textId="77777777" w:rsidTr="00325A98">
        <w:trPr>
          <w:cnfStyle w:val="100000000000" w:firstRow="1" w:lastRow="0" w:firstColumn="0" w:lastColumn="0" w:oddVBand="0" w:evenVBand="0" w:oddHBand="0" w:evenHBand="0" w:firstRowFirstColumn="0" w:firstRowLastColumn="0" w:lastRowFirstColumn="0" w:lastRowLastColumn="0"/>
          <w:jc w:val="center"/>
        </w:trPr>
        <w:tc>
          <w:tcPr>
            <w:tcW w:w="25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0DD9951B"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**Characteristic**</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6F39DFAF"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β</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1A47233B"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SE</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361F3C37"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z</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6755E325"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p</w:t>
            </w:r>
          </w:p>
        </w:tc>
      </w:tr>
      <w:tr w:rsidR="00325A98" w14:paraId="19496B1C" w14:textId="77777777" w:rsidTr="00325A98">
        <w:trPr>
          <w:jc w:val="center"/>
        </w:trPr>
        <w:tc>
          <w:tcPr>
            <w:tcW w:w="25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AABDBE"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fixation_position</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3DECE0" w14:textId="77777777" w:rsidR="00325A98" w:rsidRDefault="00325A98">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B538D2" w14:textId="77777777" w:rsidR="00325A98" w:rsidRDefault="00325A98">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51BC69" w14:textId="77777777" w:rsidR="00325A98" w:rsidRDefault="00325A98">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B5E61A" w14:textId="77777777" w:rsidR="00325A98" w:rsidRDefault="00325A98">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p>
        </w:tc>
      </w:tr>
      <w:tr w:rsidR="00325A98" w14:paraId="285CE4C2" w14:textId="77777777" w:rsidTr="00325A98">
        <w:trPr>
          <w:jc w:val="center"/>
        </w:trPr>
        <w:tc>
          <w:tcPr>
            <w:tcW w:w="25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9EC7CC"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target suffix</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63A08B" w14:textId="77777777" w:rsidR="00325A98" w:rsidRDefault="00325A98">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12E09E" w14:textId="77777777" w:rsidR="00325A98" w:rsidRDefault="00325A98">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3FEB5C" w14:textId="77777777" w:rsidR="00325A98" w:rsidRDefault="00325A98">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34F9B8" w14:textId="77777777" w:rsidR="00325A98" w:rsidRDefault="00325A98">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p>
        </w:tc>
      </w:tr>
      <w:tr w:rsidR="00325A98" w14:paraId="7E8108BD" w14:textId="77777777" w:rsidTr="00325A98">
        <w:trPr>
          <w:jc w:val="center"/>
        </w:trPr>
        <w:tc>
          <w:tcPr>
            <w:tcW w:w="25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C0A2F2"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root</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37E7CC"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-0.01</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C43454"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0.005</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1875B2"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-2.32</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681F2E"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0.020</w:t>
            </w:r>
          </w:p>
        </w:tc>
      </w:tr>
      <w:tr w:rsidR="00325A98" w14:paraId="36F97C95" w14:textId="77777777" w:rsidTr="00325A98">
        <w:trPr>
          <w:jc w:val="center"/>
        </w:trPr>
        <w:tc>
          <w:tcPr>
            <w:tcW w:w="25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39437B"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fill</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DE933C"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-0.04</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C33E90"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0.004</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43E504"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-10.2</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B5A7F7"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&lt;0.001</w:t>
            </w:r>
          </w:p>
        </w:tc>
      </w:tr>
      <w:tr w:rsidR="00325A98" w14:paraId="2809E5CB" w14:textId="77777777" w:rsidTr="00325A98">
        <w:trPr>
          <w:jc w:val="center"/>
        </w:trPr>
        <w:tc>
          <w:tcPr>
            <w:tcW w:w="25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2D2F68"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inflection</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806301"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-0.12</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62D603"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0.005</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B8F0DA"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-23.8</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FCCB24"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&lt;0.001</w:t>
            </w:r>
          </w:p>
        </w:tc>
      </w:tr>
      <w:tr w:rsidR="00325A98" w14:paraId="6EA5E63D" w14:textId="77777777" w:rsidTr="00325A98">
        <w:trPr>
          <w:jc w:val="center"/>
        </w:trPr>
        <w:tc>
          <w:tcPr>
            <w:tcW w:w="25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C15BB0"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baseline word</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E73897"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-0.13</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72E7E7"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0.004</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3743E3"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-31.3</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34336E"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&lt;0.001</w:t>
            </w:r>
          </w:p>
        </w:tc>
      </w:tr>
      <w:tr w:rsidR="00325A98" w14:paraId="36772635" w14:textId="77777777" w:rsidTr="00325A98">
        <w:trPr>
          <w:jc w:val="center"/>
        </w:trPr>
        <w:tc>
          <w:tcPr>
            <w:tcW w:w="25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7EA5EC"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region_frequency_log</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B04100"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-0.02</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BA76FD"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0.002</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73A785"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-15.1</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EE6A76"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&lt;0.001</w:t>
            </w:r>
          </w:p>
        </w:tc>
      </w:tr>
      <w:tr w:rsidR="00325A98" w14:paraId="74F45C58" w14:textId="77777777" w:rsidTr="00325A98">
        <w:trPr>
          <w:jc w:val="center"/>
        </w:trPr>
        <w:tc>
          <w:tcPr>
            <w:tcW w:w="25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0183F7"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region_length</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3063DD"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-0.01</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73D38C"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0.001</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879FE4"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-20.2</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0DB563" w14:textId="77777777" w:rsidR="00325A9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&lt;0.001</w:t>
            </w:r>
          </w:p>
        </w:tc>
      </w:tr>
      <w:bookmarkEnd w:id="4"/>
    </w:tbl>
    <w:p w14:paraId="5D87A3D0" w14:textId="77777777" w:rsidR="00A33C75" w:rsidRDefault="00A33C75"/>
    <w:sectPr w:rsidR="00A33C75">
      <w:footnotePr>
        <w:numRestart w:val="eachSect"/>
      </w:footnotePr>
      <w:pgSz w:w="12240" w:h="15840"/>
      <w:pgMar w:top="1440" w:right="1440" w:bottom="1440" w:left="1440"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E5696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89119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25A98"/>
    <w:rsid w:val="0019377B"/>
    <w:rsid w:val="00325A98"/>
    <w:rsid w:val="00A33C75"/>
    <w:rsid w:val="00B03C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BDB48"/>
  <w15:docId w15:val="{FDD29708-B54D-48B8-98D0-762383F95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290</Words>
  <Characters>1775</Characters>
  <Application>Microsoft Office Word</Application>
  <DocSecurity>0</DocSecurity>
  <Lines>14</Lines>
  <Paragraphs>4</Paragraphs>
  <ScaleCrop>false</ScaleCrop>
  <Company/>
  <LinksUpToDate>false</LinksUpToDate>
  <CharactersWithSpaces>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cp:lastModifiedBy>Solvej Wilbrandt Jæger</cp:lastModifiedBy>
  <cp:revision>2</cp:revision>
  <dcterms:created xsi:type="dcterms:W3CDTF">2026-07-11T05:43:00Z</dcterms:created>
  <dcterms:modified xsi:type="dcterms:W3CDTF">2026-07-11T05:44:00Z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apa.csl</vt:lpwstr>
  </property>
  <property fmtid="{D5CDD505-2E9C-101B-9397-08002B2CF9AE}" pid="4" name="output">
    <vt:lpwstr>bookdown::word_document2</vt:lpwstr>
  </property>
</Properties>
</file>