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509A4" w14:textId="77777777" w:rsidR="00D81E32" w:rsidRDefault="00000000">
      <w:pPr>
        <w:pStyle w:val="Title"/>
      </w:pPr>
      <w:r>
        <w:t>Eye tracking in a polysynthetic language: Evidence for a distinction between lexical and grammatical suffixes</w:t>
      </w:r>
    </w:p>
    <w:p w14:paraId="154F83BD" w14:textId="77777777" w:rsidR="00D81E32" w:rsidRDefault="00000000">
      <w:pPr>
        <w:pStyle w:val="Heading1"/>
      </w:pPr>
      <w:bookmarkStart w:id="0" w:name="abstract"/>
      <w:r>
        <w:rPr>
          <w:rStyle w:val="SectionNumber"/>
        </w:rPr>
        <w:t>1</w:t>
      </w:r>
      <w:r>
        <w:tab/>
        <w:t>Abstract</w:t>
      </w:r>
    </w:p>
    <w:p w14:paraId="267DB51D" w14:textId="77777777" w:rsidR="00D81E32" w:rsidRDefault="00000000">
      <w:pPr>
        <w:pStyle w:val="FirstParagraph"/>
      </w:pPr>
      <w:r>
        <w:t>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these multi-morphemic words, visual attention was asymmetrically distributed, with fixations most highly concentrated near the root at the beginning of the word.</w:t>
      </w:r>
    </w:p>
    <w:p w14:paraId="3F99F001" w14:textId="77777777" w:rsidR="00D81E32" w:rsidRDefault="00000000">
      <w:pPr>
        <w:pStyle w:val="Heading1"/>
      </w:pPr>
      <w:bookmarkStart w:id="1" w:name="introduction"/>
      <w:bookmarkEnd w:id="0"/>
      <w:r>
        <w:rPr>
          <w:rStyle w:val="SectionNumber"/>
        </w:rPr>
        <w:t>2</w:t>
      </w:r>
      <w:r>
        <w:tab/>
        <w:t>Introduction</w:t>
      </w:r>
    </w:p>
    <w:p w14:paraId="0F99215F" w14:textId="77777777" w:rsidR="00D81E32" w:rsidRDefault="00000000">
      <w:pPr>
        <w:pStyle w:val="FirstParagraph"/>
      </w:pPr>
      <w:r>
        <w:t>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 (Ehrlich &amp; Rayner, 1981; Ellis, 2002; Lowder et al., 2018), and that shorter words are read more quickly than longer ones (Bertram &amp; Hyönä, 2003; Just &amp; Carpenter, 1980). However, most eye-tracking research has concentrated on Indo-European languages, particularly English (see Siegelman et al., 2022),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14:paraId="00A1E62C" w14:textId="77777777" w:rsidR="00D81E32" w:rsidRDefault="00000000">
      <w:pPr>
        <w:pStyle w:val="BodyText"/>
      </w:pPr>
      <w:r>
        <w:lastRenderedPageBreak/>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 (Fortescue, 1980), and is often highlighted as a prototypical example of polysynthesis (Mattissen, 2017; Trudgill, 2017). The major word classes in Kalaallisut are verbs and nouns, both of which minimally consist of a root and an inflectional ending. Between these elements, an (in principle) unlimited number of derivational suffixes may occur (Fortescue, 1984; Kahn &amp; Valijärvi, 2021). Some derivational suffixes are verbalizing or nominalizing, allowing multiple base class shifts within a single word. Moreover, many derivational suffixes contribute meanings that would typically be expressed by lexical words in more analytic languages (e.g., </w:t>
      </w:r>
      <w:r>
        <w:rPr>
          <w:i/>
          <w:iCs/>
        </w:rPr>
        <w:t>-tor</w:t>
      </w:r>
      <w:r>
        <w:t xml:space="preserve"> ‘eat’ or </w:t>
      </w:r>
      <w:r>
        <w:rPr>
          <w:i/>
          <w:iCs/>
        </w:rPr>
        <w:t>-nerar</w:t>
      </w:r>
      <w:r>
        <w:t xml:space="preserve"> ‘say’). As a result, individual words in Kalaallisut may contain multiple constituents, including, for example, both a predicate and an object, and it is not uncommon for an entire sentence to be expressed by a single word. An example is given in (1) (example from Fortescue, 1984, p. 315):</w:t>
      </w:r>
    </w:p>
    <w:p w14:paraId="5E07E359" w14:textId="77777777" w:rsidR="00D81E32" w:rsidRDefault="00000000">
      <w:pPr>
        <w:numPr>
          <w:ilvl w:val="0"/>
          <w:numId w:val="2"/>
        </w:numPr>
      </w:pPr>
      <w:r>
        <w:rPr>
          <w:i/>
          <w:iCs/>
        </w:rPr>
        <w:t>Annerulersinneqarsinnaasorinngikkaluarpakka</w:t>
      </w:r>
    </w:p>
    <w:p w14:paraId="6FA9C477" w14:textId="77777777" w:rsidR="00D81E32" w:rsidRPr="0070447D" w:rsidRDefault="00000000">
      <w:pPr>
        <w:numPr>
          <w:ilvl w:val="0"/>
          <w:numId w:val="1"/>
        </w:numPr>
        <w:rPr>
          <w:lang w:val="da-DK"/>
        </w:rPr>
      </w:pPr>
      <w:r w:rsidRPr="0070447D">
        <w:rPr>
          <w:i/>
          <w:iCs/>
          <w:lang w:val="da-DK"/>
        </w:rPr>
        <w:t>An-</w:t>
      </w:r>
      <w:proofErr w:type="spellStart"/>
      <w:r w:rsidRPr="0070447D">
        <w:rPr>
          <w:i/>
          <w:iCs/>
          <w:lang w:val="da-DK"/>
        </w:rPr>
        <w:t>neru</w:t>
      </w:r>
      <w:proofErr w:type="spellEnd"/>
      <w:r w:rsidRPr="0070447D">
        <w:rPr>
          <w:i/>
          <w:iCs/>
          <w:lang w:val="da-DK"/>
        </w:rPr>
        <w:t>-ler-tip-</w:t>
      </w:r>
      <w:proofErr w:type="spellStart"/>
      <w:r w:rsidRPr="0070447D">
        <w:rPr>
          <w:i/>
          <w:iCs/>
          <w:lang w:val="da-DK"/>
        </w:rPr>
        <w:t>neqar</w:t>
      </w:r>
      <w:proofErr w:type="spellEnd"/>
      <w:r w:rsidRPr="0070447D">
        <w:rPr>
          <w:i/>
          <w:iCs/>
          <w:lang w:val="da-DK"/>
        </w:rPr>
        <w:t>-</w:t>
      </w:r>
      <w:proofErr w:type="spellStart"/>
      <w:r w:rsidRPr="0070447D">
        <w:rPr>
          <w:i/>
          <w:iCs/>
          <w:lang w:val="da-DK"/>
        </w:rPr>
        <w:t>sinnaa-sori-nngit-galuar-vakka</w:t>
      </w:r>
      <w:proofErr w:type="spellEnd"/>
    </w:p>
    <w:p w14:paraId="5EE30D8D" w14:textId="77777777" w:rsidR="00D81E32" w:rsidRDefault="00000000">
      <w:pPr>
        <w:numPr>
          <w:ilvl w:val="0"/>
          <w:numId w:val="1"/>
        </w:numPr>
      </w:pPr>
      <w:r>
        <w:t>be.big-more-begin-cause-passive-can-think.that-not-however-DECL.1SG/3PL</w:t>
      </w:r>
    </w:p>
    <w:p w14:paraId="478BD208" w14:textId="77777777" w:rsidR="00D81E32" w:rsidRDefault="00000000">
      <w:pPr>
        <w:numPr>
          <w:ilvl w:val="0"/>
          <w:numId w:val="1"/>
        </w:numPr>
      </w:pPr>
      <w:r>
        <w:t>‘I don’t think they can be made any bigger however’</w:t>
      </w:r>
    </w:p>
    <w:p w14:paraId="5A0567C1" w14:textId="77777777" w:rsidR="00D81E32" w:rsidRDefault="00000000">
      <w:pPr>
        <w:pStyle w:val="FirstParagraph"/>
      </w:pPr>
      <w:r>
        <w:t>The present study investigates how multi-morphemic words are processed in Kalaallisut reading. Its primary aim is to test the hypothesis that certain Kalaallisut derivational suffixes are lexical elements,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 (though see also Mathiassen, 2025), it addresses broader questions about how visual attention is distributed across morphologically complex words, and whether effects commonly observed at the word level in other languages (such as frequency effects) may be detected at the morpheme level in Kalaallisut.</w:t>
      </w:r>
    </w:p>
    <w:p w14:paraId="1C6A31B4" w14:textId="77777777" w:rsidR="00D81E32" w:rsidRDefault="00000000">
      <w:pPr>
        <w:pStyle w:val="BodyText"/>
      </w:pPr>
      <w:r>
        <w:t>The specific hypothesis draws on typological research on lexical affixes, which has shown that affixes in a range of languages may display properties typically associated with lexical elements (e.g. Carlson, 1990; Gerdts &amp; Hinkson, 1996; Kazama, 2011; Kinkade, 1998; Kurebito, 2001; Mattissen, 2017; Mithun, 1997). At the same time, the hypothesis builds on Boye and Harder (2012) and Boye (2023, 2024) who argue that the distinction between what is lexical and what is grammatical is a question of conventionalized patterns of attention prioritization:</w:t>
      </w:r>
    </w:p>
    <w:p w14:paraId="31019105" w14:textId="77777777" w:rsidR="00D81E32" w:rsidRDefault="00000000">
      <w:pPr>
        <w:pStyle w:val="BodyText"/>
      </w:pPr>
      <w:r>
        <w:rPr>
          <w:b/>
          <w:bCs/>
        </w:rPr>
        <w:t>Lexical elements</w:t>
      </w:r>
      <w:r>
        <w:t xml:space="preserve"> by convention have the potential to be the attentional foreground in an utterance.</w:t>
      </w:r>
    </w:p>
    <w:p w14:paraId="2425435C" w14:textId="77777777" w:rsidR="00D81E32" w:rsidRDefault="00000000">
      <w:pPr>
        <w:pStyle w:val="BodyText"/>
      </w:pPr>
      <w:r>
        <w:rPr>
          <w:b/>
          <w:bCs/>
        </w:rPr>
        <w:t>Grammatical elements</w:t>
      </w:r>
      <w:r>
        <w:t xml:space="preserve"> are by convention attentional background.</w:t>
      </w:r>
    </w:p>
    <w:p w14:paraId="4495F265" w14:textId="77777777" w:rsidR="00D81E32" w:rsidRDefault="00000000">
      <w:pPr>
        <w:pStyle w:val="BodyText"/>
      </w:pPr>
      <w:r>
        <w:lastRenderedPageBreak/>
        <w:t>To illustrate, see the utterance in (2):</w:t>
      </w:r>
    </w:p>
    <w:p w14:paraId="4780DB97" w14:textId="77777777" w:rsidR="00D81E32" w:rsidRDefault="00000000">
      <w:pPr>
        <w:pStyle w:val="Compact"/>
        <w:numPr>
          <w:ilvl w:val="0"/>
          <w:numId w:val="3"/>
        </w:numPr>
      </w:pPr>
      <w:r>
        <w:t>Grow avocados!</w:t>
      </w:r>
    </w:p>
    <w:p w14:paraId="357513F6" w14:textId="77777777" w:rsidR="00D81E32" w:rsidRDefault="00000000">
      <w:pPr>
        <w:pStyle w:val="FirstParagraph"/>
      </w:pPr>
      <w:r>
        <w:t xml:space="preserve">As both </w:t>
      </w:r>
      <w:r>
        <w:rPr>
          <w:i/>
          <w:iCs/>
        </w:rPr>
        <w:t>grow</w:t>
      </w:r>
      <w:r>
        <w:t xml:space="preserve"> and </w:t>
      </w:r>
      <w:r>
        <w:rPr>
          <w:i/>
          <w:iCs/>
        </w:rPr>
        <w:t>avocados</w:t>
      </w:r>
      <w:r>
        <w:t xml:space="preserve"> are lexical elements, they can both be interpreted as expressing the primary point of the utterance: In a conversation about what to grow, </w:t>
      </w:r>
      <w:r>
        <w:rPr>
          <w:i/>
          <w:iCs/>
        </w:rPr>
        <w:t>avocados</w:t>
      </w:r>
      <w:r>
        <w:t xml:space="preserve"> would be the attentional foreground, but in a discussion about rising avocado prices, </w:t>
      </w:r>
      <w:r>
        <w:rPr>
          <w:i/>
          <w:iCs/>
        </w:rPr>
        <w:t>grow</w:t>
      </w:r>
      <w:r>
        <w:t xml:space="preserve"> would be the central point. Being grammatical, the plural ending </w:t>
      </w:r>
      <w:r>
        <w:rPr>
          <w:i/>
          <w:iCs/>
        </w:rPr>
        <w:t>-s</w:t>
      </w:r>
      <w:r>
        <w:t xml:space="preserve"> 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 (Boye et al., 2023).</w:t>
      </w:r>
    </w:p>
    <w:p w14:paraId="678B919E" w14:textId="77777777" w:rsidR="00D81E32" w:rsidRDefault="00000000">
      <w:pPr>
        <w:pStyle w:val="BodyText"/>
      </w:pPr>
      <w:r>
        <w:t>The theory entails a set of predictions that are supported by a range of recent studies, both within language perception, language production, and agrammatism. For instance, in language production, grammatical elements were correctly predicted to be associated with longer reaction times (Lange et al., 2017) and more errors under cognitive load (Ishkhanyan et al., 2019). In agrammatic speech, grammatical elements were correctly predicted to be omitted or substituted more frequently than lexical elements (e.g., Ishkhanyan et al., 2017; S. R. Nielsen et al., 2019).</w:t>
      </w:r>
    </w:p>
    <w:p w14:paraId="705E3EA6" w14:textId="77777777" w:rsidR="00D81E32" w:rsidRDefault="00000000">
      <w:pPr>
        <w:pStyle w:val="BodyText"/>
      </w:pPr>
      <w:r>
        <w:t>The focus of the present study is language perception. Here, the theory predicts that lexical elements will attract more attention than grammatical elements. This prediction is supported by evidence from several different experimental paradigms. For instance, Christensen et al. (2021) 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 (Klein &amp; Saint-Aubin, 2016). Within the eye-tracking paradigm, there is likewise evidence that lexical words receive more attention than grammatical words in reading, as indicated by longer fixation durations and lower skipping probabilities for lexical words (e.g., Carpenter &amp; Just, 1983; Krejtz et al., 2016). An apparent exception was reported by Staub (2024) 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 (Jaeger &amp; Boye, under review).</w:t>
      </w:r>
    </w:p>
    <w:p w14:paraId="6A9667DA" w14:textId="77777777" w:rsidR="00D81E32" w:rsidRDefault="00000000">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w:t>
      </w:r>
      <w:r>
        <w:lastRenderedPageBreak/>
        <w:t>potential foreground, can be focused, addressed, and modified (see Boye, 2023, for a discussion of the criteria).</w:t>
      </w:r>
    </w:p>
    <w:p w14:paraId="271B18A6" w14:textId="77777777" w:rsidR="00D81E32" w:rsidRDefault="00000000">
      <w:pPr>
        <w:pStyle w:val="BodyText"/>
      </w:pPr>
      <w:r>
        <w:t xml:space="preserve">In Kalaallisut, application of the modification criterion leads to the classification of some derivational suffixes as lexical. For example, as shown in (3), the suffix </w:t>
      </w:r>
      <w:r>
        <w:rPr>
          <w:i/>
          <w:iCs/>
        </w:rPr>
        <w:t>-pallag</w:t>
      </w:r>
      <w:r>
        <w:t xml:space="preserve"> ‘quickly’ can be modified by means of the suffix </w:t>
      </w:r>
      <w:r>
        <w:rPr>
          <w:i/>
          <w:iCs/>
        </w:rPr>
        <w:t>-ngaar</w:t>
      </w:r>
      <w:r>
        <w:t xml:space="preserve"> ‘very’ (example from M. Nielsen et al., 2024, p. 132). This is noteworthy because it challenges the widespread assumption that affixes as a group belong to grammar (cf. Hopper’s claim that “[c]ategories which are morphologized might safely be said to be part of grammar” (Hopper, 1991: 19), and Martinet (1960): 4.19; Bybee et al. (1994); Segalowitz &amp; Lane (2000); Talmy (2000): 22; Chomsky (2014): 48, on the view that closed classes are grammatical whereas open classes are lexical).</w:t>
      </w:r>
    </w:p>
    <w:p w14:paraId="558D54D9" w14:textId="77777777" w:rsidR="00D81E32" w:rsidRDefault="00000000">
      <w:pPr>
        <w:numPr>
          <w:ilvl w:val="0"/>
          <w:numId w:val="4"/>
        </w:numPr>
      </w:pPr>
      <w:r>
        <w:rPr>
          <w:i/>
          <w:iCs/>
        </w:rPr>
        <w:t>neripallangaarmallu</w:t>
      </w:r>
    </w:p>
    <w:p w14:paraId="29FCD9AE" w14:textId="77777777" w:rsidR="00D81E32" w:rsidRDefault="00000000">
      <w:pPr>
        <w:numPr>
          <w:ilvl w:val="0"/>
          <w:numId w:val="1"/>
        </w:numPr>
      </w:pPr>
      <w:r>
        <w:t>neri-</w:t>
      </w:r>
      <w:r>
        <w:rPr>
          <w:b/>
          <w:bCs/>
        </w:rPr>
        <w:t>pallag</w:t>
      </w:r>
      <w:r>
        <w:t>-</w:t>
      </w:r>
      <w:r>
        <w:rPr>
          <w:b/>
          <w:bCs/>
        </w:rPr>
        <w:t>ngaar</w:t>
      </w:r>
      <w:r>
        <w:t>-mat=lu</w:t>
      </w:r>
    </w:p>
    <w:p w14:paraId="6437C1AC" w14:textId="77777777" w:rsidR="00D81E32" w:rsidRDefault="00000000">
      <w:pPr>
        <w:numPr>
          <w:ilvl w:val="0"/>
          <w:numId w:val="1"/>
        </w:numPr>
      </w:pPr>
      <w:r>
        <w:t>eat-</w:t>
      </w:r>
      <w:r>
        <w:rPr>
          <w:b/>
          <w:bCs/>
        </w:rPr>
        <w:t>quickly</w:t>
      </w:r>
      <w:r>
        <w:t>-</w:t>
      </w:r>
      <w:r>
        <w:rPr>
          <w:b/>
          <w:bCs/>
        </w:rPr>
        <w:t>very</w:t>
      </w:r>
      <w:r>
        <w:t>-3SG.CONSEQ=and</w:t>
      </w:r>
    </w:p>
    <w:p w14:paraId="4A0DDF0A" w14:textId="77777777" w:rsidR="00D81E32" w:rsidRDefault="00000000">
      <w:pPr>
        <w:numPr>
          <w:ilvl w:val="0"/>
          <w:numId w:val="1"/>
        </w:numPr>
      </w:pPr>
      <w:r>
        <w:t>’and because she ate very quickly’</w:t>
      </w:r>
    </w:p>
    <w:p w14:paraId="113270A1" w14:textId="77777777" w:rsidR="00D81E32" w:rsidRDefault="00000000">
      <w:pPr>
        <w:pStyle w:val="FirstParagraph"/>
      </w:pPr>
      <w:r>
        <w:t>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p w14:paraId="57179CD7" w14:textId="77777777" w:rsidR="00D81E32" w:rsidRDefault="00000000">
      <w:pPr>
        <w:pStyle w:val="Heading1"/>
      </w:pPr>
      <w:bookmarkStart w:id="2" w:name="the-experiment"/>
      <w:bookmarkEnd w:id="1"/>
      <w:r>
        <w:rPr>
          <w:rStyle w:val="SectionNumber"/>
        </w:rPr>
        <w:t>3</w:t>
      </w:r>
      <w:r>
        <w:tab/>
        <w:t>The experiment</w:t>
      </w:r>
    </w:p>
    <w:p w14:paraId="3FE8C177" w14:textId="77777777" w:rsidR="00D81E32" w:rsidRDefault="00000000">
      <w:pPr>
        <w:pStyle w:val="FirstParagraph"/>
      </w:pPr>
      <w:r>
        <w:t>In the experiment, adult native speakers of Kalaallisut read sentences on a screen while their eye movements were tracked. Each participant read 160 sets of three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14:paraId="5F52D882" w14:textId="77777777" w:rsidR="00D81E32" w:rsidRDefault="00000000">
      <w:pPr>
        <w:pStyle w:val="BodyText"/>
      </w:pPr>
      <w:r>
        <w:t>Besides testing the specific hypotheses regarding grammatical and lexical suffixes, the experiment design also allowed for investigating more general fixation patterns on multi-morphemic words.</w:t>
      </w:r>
    </w:p>
    <w:p w14:paraId="0848CABF" w14:textId="77777777" w:rsidR="00D81E32" w:rsidRDefault="00000000">
      <w:pPr>
        <w:pStyle w:val="BodyText"/>
      </w:pPr>
      <w:r>
        <w:lastRenderedPageBreak/>
        <w:t xml:space="preserve">Data and analysis scripts are available here: </w:t>
      </w:r>
      <w:hyperlink r:id="rId7">
        <w:r>
          <w:rPr>
            <w:rStyle w:val="Hyperlink"/>
          </w:rPr>
          <w:t>https://anonymous.4open.science/r/eye_tracking_kalaallisut-450F</w:t>
        </w:r>
      </w:hyperlink>
      <w:r>
        <w:t>.</w:t>
      </w:r>
    </w:p>
    <w:p w14:paraId="6B96BADB" w14:textId="77777777" w:rsidR="00D81E32" w:rsidRDefault="00000000">
      <w:pPr>
        <w:pStyle w:val="Heading2"/>
      </w:pPr>
      <w:bookmarkStart w:id="3" w:name="method"/>
      <w:r>
        <w:rPr>
          <w:rStyle w:val="SectionNumber"/>
        </w:rPr>
        <w:t>3.1</w:t>
      </w:r>
      <w:r>
        <w:tab/>
        <w:t>Method</w:t>
      </w:r>
    </w:p>
    <w:p w14:paraId="108B499D" w14:textId="77777777" w:rsidR="00D81E32" w:rsidRDefault="00000000">
      <w:pPr>
        <w:pStyle w:val="Heading3"/>
      </w:pPr>
      <w:bookmarkStart w:id="4" w:name="participants"/>
      <w:r>
        <w:rPr>
          <w:rStyle w:val="SectionNumber"/>
        </w:rPr>
        <w:t>3.1.1</w:t>
      </w:r>
      <w:r>
        <w:tab/>
        <w:t>Participants</w:t>
      </w:r>
    </w:p>
    <w:p w14:paraId="4A93CECC" w14:textId="77777777" w:rsidR="00D81E32" w:rsidRDefault="00000000">
      <w:pPr>
        <w:pStyle w:val="FirstParagraph"/>
      </w:pPr>
      <w:r>
        <w:t>A total of 52 native speakers of Kalaallisut participated in the experiment (40 female, mean age = 27.1)</w:t>
      </w:r>
      <w:r>
        <w:rPr>
          <w:rStyle w:val="FootnoteReference"/>
        </w:rPr>
        <w:footnoteReference w:id="1"/>
      </w:r>
      <w:r>
        <w:t>.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p w14:paraId="23713BE2" w14:textId="77777777" w:rsidR="00D81E32" w:rsidRDefault="00000000">
      <w:pPr>
        <w:pStyle w:val="Heading3"/>
      </w:pPr>
      <w:bookmarkStart w:id="5" w:name="apparatus-and-experimental-procedure"/>
      <w:bookmarkEnd w:id="4"/>
      <w:r>
        <w:rPr>
          <w:rStyle w:val="SectionNumber"/>
        </w:rPr>
        <w:t>3.1.2</w:t>
      </w:r>
      <w:r>
        <w:tab/>
        <w:t>Apparatus and experimental procedure</w:t>
      </w:r>
    </w:p>
    <w:p w14:paraId="4A13036D" w14:textId="77777777" w:rsidR="00D81E32" w:rsidRDefault="00000000">
      <w:pPr>
        <w:pStyle w:val="FirstParagraph"/>
      </w:pPr>
      <w:r>
        <w:t>Movements of the right eye were recorded with an Eyelink Portable Duo eye tracker (SR Research, Ontario, Canada), sampling at 1000 Hz</w:t>
      </w:r>
      <w:r>
        <w:rPr>
          <w:rStyle w:val="FootnoteReference"/>
        </w:rPr>
        <w:footnoteReference w:id="2"/>
      </w:r>
      <w:r>
        <w:t>.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
      </w:r>
      <w:r>
        <w:t>.</w:t>
      </w:r>
    </w:p>
    <w:p w14:paraId="56773A86" w14:textId="77777777" w:rsidR="00D81E32" w:rsidRDefault="00000000">
      <w:pPr>
        <w:pStyle w:val="BodyText"/>
      </w:pPr>
      <w:r>
        <w:t>The experiment was constructed in Experiment Builder (SR Research). Sentences were displayed in Courier New, font size 19. Each letter subtended 0.38 degrees of visual angle. The background was white and the text color black.</w:t>
      </w:r>
    </w:p>
    <w:p w14:paraId="370CFCEC" w14:textId="77777777" w:rsidR="00D81E32" w:rsidRDefault="00000000">
      <w:pPr>
        <w:pStyle w:val="BodyText"/>
      </w:pPr>
      <w:r>
        <w:t>Participants were instructed to read for comprehension. A 9-point calibration procedure was performed at the start of the experiment, after every 40</w:t>
      </w:r>
      <w:r>
        <w:rPr>
          <w:vertAlign w:val="superscript"/>
        </w:rPr>
        <w:t>th</w:t>
      </w:r>
      <w:r>
        <w:t xml:space="preserve"> trial, and additionally as needed between trials. The average calibration error across participants was 0.35 degrees of visual angle (SD = 0.14).</w:t>
      </w:r>
    </w:p>
    <w:p w14:paraId="084FC633" w14:textId="77777777" w:rsidR="00D81E32" w:rsidRDefault="00000000">
      <w:pPr>
        <w:pStyle w:val="BodyText"/>
      </w:pPr>
      <w:r>
        <w:t>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14:paraId="77734B8B" w14:textId="77777777" w:rsidR="00D81E32" w:rsidRDefault="00000000">
      <w:pPr>
        <w:pStyle w:val="BodyText"/>
      </w:pPr>
      <w:r>
        <w:lastRenderedPageBreak/>
        <w:t>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th</w:t>
      </w:r>
      <w:r>
        <w:t xml:space="preserve"> trial.</w:t>
      </w:r>
    </w:p>
    <w:p w14:paraId="1D261C78" w14:textId="77777777" w:rsidR="00D81E32" w:rsidRDefault="00000000">
      <w:pPr>
        <w:pStyle w:val="BodyText"/>
      </w:pPr>
      <w:r>
        <w:t>The experiment began with two practice trials, data from which were not included in the analyses.</w:t>
      </w:r>
    </w:p>
    <w:p w14:paraId="5A1EDC91" w14:textId="77777777" w:rsidR="00D81E32" w:rsidRDefault="00000000">
      <w:pPr>
        <w:pStyle w:val="Heading3"/>
      </w:pPr>
      <w:bookmarkStart w:id="6" w:name="materials"/>
      <w:bookmarkEnd w:id="5"/>
      <w:r>
        <w:rPr>
          <w:rStyle w:val="SectionNumber"/>
        </w:rPr>
        <w:t>3.1.3</w:t>
      </w:r>
      <w:r>
        <w:tab/>
        <w:t>Materials</w:t>
      </w:r>
    </w:p>
    <w:p w14:paraId="6D00909F" w14:textId="77777777" w:rsidR="00D81E32" w:rsidRDefault="00000000">
      <w:pPr>
        <w:pStyle w:val="FirstParagraph"/>
      </w:pPr>
      <w:r>
        <w:t>Based on the modification criterion and discussions with author DDD (a linguist and native speaker of Kalaallisut), 8 lexical and 8 grammatical target suffixes were chosen (see Table 3.1).</w:t>
      </w:r>
    </w:p>
    <w:p w14:paraId="49B91DD2" w14:textId="77777777" w:rsidR="00D81E32" w:rsidRDefault="00000000">
      <w:pPr>
        <w:pStyle w:val="TableCaption"/>
      </w:pPr>
      <w:bookmarkStart w:id="7" w:name="tab:table1"/>
      <w:bookmarkEnd w:id="7"/>
      <w:r>
        <w:t>Table 3.1: Lexical and grammatical target suffixes</w:t>
      </w:r>
    </w:p>
    <w:tbl>
      <w:tblPr>
        <w:tblStyle w:val="Table"/>
        <w:tblW w:w="5000" w:type="pct"/>
        <w:tblLayout w:type="fixed"/>
        <w:tblLook w:val="0020" w:firstRow="1" w:lastRow="0" w:firstColumn="0" w:lastColumn="0" w:noHBand="0" w:noVBand="0"/>
      </w:tblPr>
      <w:tblGrid>
        <w:gridCol w:w="2521"/>
        <w:gridCol w:w="2520"/>
        <w:gridCol w:w="2116"/>
        <w:gridCol w:w="2419"/>
      </w:tblGrid>
      <w:tr w:rsidR="00D81E32" w14:paraId="12ED0DB8" w14:textId="77777777" w:rsidTr="00D81E32">
        <w:trPr>
          <w:cnfStyle w:val="100000000000" w:firstRow="1" w:lastRow="0" w:firstColumn="0" w:lastColumn="0" w:oddVBand="0" w:evenVBand="0" w:oddHBand="0" w:evenHBand="0" w:firstRowFirstColumn="0" w:firstRowLastColumn="0" w:lastRowFirstColumn="0" w:lastRowLastColumn="0"/>
          <w:tblHeader/>
        </w:trPr>
        <w:tc>
          <w:tcPr>
            <w:tcW w:w="2084" w:type="dxa"/>
          </w:tcPr>
          <w:p w14:paraId="5DB9D715" w14:textId="77777777" w:rsidR="00D81E32" w:rsidRDefault="00000000">
            <w:pPr>
              <w:pStyle w:val="Compact"/>
            </w:pPr>
            <w:r>
              <w:t>Lexical suffixes</w:t>
            </w:r>
          </w:p>
        </w:tc>
        <w:tc>
          <w:tcPr>
            <w:tcW w:w="2084" w:type="dxa"/>
          </w:tcPr>
          <w:p w14:paraId="3D7D19A5" w14:textId="77777777" w:rsidR="00D81E32" w:rsidRDefault="00D81E32">
            <w:pPr>
              <w:pStyle w:val="Compact"/>
            </w:pPr>
          </w:p>
        </w:tc>
        <w:tc>
          <w:tcPr>
            <w:tcW w:w="1750" w:type="dxa"/>
          </w:tcPr>
          <w:p w14:paraId="034DA0B1" w14:textId="77777777" w:rsidR="00D81E32" w:rsidRDefault="00000000">
            <w:pPr>
              <w:pStyle w:val="Compact"/>
            </w:pPr>
            <w:r>
              <w:t>Grammatical suffixes</w:t>
            </w:r>
          </w:p>
        </w:tc>
        <w:tc>
          <w:tcPr>
            <w:tcW w:w="2000" w:type="dxa"/>
          </w:tcPr>
          <w:p w14:paraId="541A604B" w14:textId="77777777" w:rsidR="00D81E32" w:rsidRDefault="00D81E32">
            <w:pPr>
              <w:pStyle w:val="Compact"/>
            </w:pPr>
          </w:p>
        </w:tc>
      </w:tr>
      <w:tr w:rsidR="00D81E32" w14:paraId="4AAA1066" w14:textId="77777777">
        <w:tc>
          <w:tcPr>
            <w:tcW w:w="2084" w:type="dxa"/>
          </w:tcPr>
          <w:p w14:paraId="2B34089D" w14:textId="77777777" w:rsidR="00D81E32" w:rsidRDefault="00000000">
            <w:pPr>
              <w:pStyle w:val="Compact"/>
            </w:pPr>
            <w:r>
              <w:rPr>
                <w:b/>
                <w:bCs/>
              </w:rPr>
              <w:t>Verbal modifiers</w:t>
            </w:r>
          </w:p>
        </w:tc>
        <w:tc>
          <w:tcPr>
            <w:tcW w:w="2084" w:type="dxa"/>
          </w:tcPr>
          <w:p w14:paraId="063B2E6E" w14:textId="77777777" w:rsidR="00D81E32" w:rsidRDefault="00D81E32">
            <w:pPr>
              <w:pStyle w:val="Compact"/>
            </w:pPr>
          </w:p>
        </w:tc>
        <w:tc>
          <w:tcPr>
            <w:tcW w:w="1750" w:type="dxa"/>
          </w:tcPr>
          <w:p w14:paraId="2770D8B3" w14:textId="77777777" w:rsidR="00D81E32" w:rsidRDefault="00D81E32">
            <w:pPr>
              <w:pStyle w:val="Compact"/>
            </w:pPr>
          </w:p>
        </w:tc>
        <w:tc>
          <w:tcPr>
            <w:tcW w:w="2000" w:type="dxa"/>
          </w:tcPr>
          <w:p w14:paraId="2F362159" w14:textId="77777777" w:rsidR="00D81E32" w:rsidRDefault="00D81E32">
            <w:pPr>
              <w:pStyle w:val="Compact"/>
            </w:pPr>
          </w:p>
        </w:tc>
      </w:tr>
      <w:tr w:rsidR="00D81E32" w14:paraId="2ADE248F" w14:textId="77777777">
        <w:tc>
          <w:tcPr>
            <w:tcW w:w="2084" w:type="dxa"/>
          </w:tcPr>
          <w:p w14:paraId="7943F450" w14:textId="77777777" w:rsidR="00D81E32" w:rsidRDefault="00000000">
            <w:pPr>
              <w:pStyle w:val="Compact"/>
            </w:pPr>
            <w:r>
              <w:t>-juannar</w:t>
            </w:r>
          </w:p>
        </w:tc>
        <w:tc>
          <w:tcPr>
            <w:tcW w:w="2084" w:type="dxa"/>
          </w:tcPr>
          <w:p w14:paraId="3F00AA68" w14:textId="77777777" w:rsidR="00D81E32" w:rsidRDefault="00000000">
            <w:pPr>
              <w:pStyle w:val="Compact"/>
            </w:pPr>
            <w:r>
              <w:t>‘always’</w:t>
            </w:r>
          </w:p>
        </w:tc>
        <w:tc>
          <w:tcPr>
            <w:tcW w:w="1750" w:type="dxa"/>
          </w:tcPr>
          <w:p w14:paraId="17962FAD" w14:textId="77777777" w:rsidR="00D81E32" w:rsidRDefault="00000000">
            <w:pPr>
              <w:pStyle w:val="Compact"/>
            </w:pPr>
            <w:r>
              <w:t>-qqajaa</w:t>
            </w:r>
          </w:p>
        </w:tc>
        <w:tc>
          <w:tcPr>
            <w:tcW w:w="2000" w:type="dxa"/>
          </w:tcPr>
          <w:p w14:paraId="77AFB5CB" w14:textId="77777777" w:rsidR="00D81E32" w:rsidRDefault="00000000">
            <w:pPr>
              <w:pStyle w:val="Compact"/>
            </w:pPr>
            <w:r>
              <w:t>‘about to’</w:t>
            </w:r>
          </w:p>
        </w:tc>
      </w:tr>
      <w:tr w:rsidR="00D81E32" w14:paraId="501B97D1" w14:textId="77777777">
        <w:tc>
          <w:tcPr>
            <w:tcW w:w="2084" w:type="dxa"/>
          </w:tcPr>
          <w:p w14:paraId="272D4683" w14:textId="77777777" w:rsidR="00D81E32" w:rsidRDefault="00000000">
            <w:pPr>
              <w:pStyle w:val="Compact"/>
            </w:pPr>
            <w:r>
              <w:t>-jaar</w:t>
            </w:r>
          </w:p>
        </w:tc>
        <w:tc>
          <w:tcPr>
            <w:tcW w:w="2084" w:type="dxa"/>
          </w:tcPr>
          <w:p w14:paraId="0EF6CAC9" w14:textId="77777777" w:rsidR="00D81E32" w:rsidRDefault="00000000">
            <w:pPr>
              <w:pStyle w:val="Compact"/>
            </w:pPr>
            <w:r>
              <w:t>‘early’</w:t>
            </w:r>
          </w:p>
        </w:tc>
        <w:tc>
          <w:tcPr>
            <w:tcW w:w="1750" w:type="dxa"/>
          </w:tcPr>
          <w:p w14:paraId="2CCE4787" w14:textId="77777777" w:rsidR="00D81E32" w:rsidRDefault="00000000">
            <w:pPr>
              <w:pStyle w:val="Compact"/>
            </w:pPr>
            <w:r>
              <w:t>-nikuu</w:t>
            </w:r>
          </w:p>
        </w:tc>
        <w:tc>
          <w:tcPr>
            <w:tcW w:w="2000" w:type="dxa"/>
          </w:tcPr>
          <w:p w14:paraId="009ADCF7" w14:textId="77777777" w:rsidR="00D81E32" w:rsidRDefault="00000000">
            <w:pPr>
              <w:pStyle w:val="Compact"/>
            </w:pPr>
            <w:r>
              <w:t>‘perfect’</w:t>
            </w:r>
          </w:p>
        </w:tc>
      </w:tr>
      <w:tr w:rsidR="00D81E32" w14:paraId="31BA0E30" w14:textId="77777777">
        <w:tc>
          <w:tcPr>
            <w:tcW w:w="2084" w:type="dxa"/>
          </w:tcPr>
          <w:p w14:paraId="4D9C0D95" w14:textId="77777777" w:rsidR="00D81E32" w:rsidRDefault="00000000">
            <w:pPr>
              <w:pStyle w:val="Compact"/>
            </w:pPr>
            <w:r>
              <w:t>-pallag</w:t>
            </w:r>
          </w:p>
        </w:tc>
        <w:tc>
          <w:tcPr>
            <w:tcW w:w="2084" w:type="dxa"/>
          </w:tcPr>
          <w:p w14:paraId="76C1FE91" w14:textId="77777777" w:rsidR="00D81E32" w:rsidRDefault="00000000">
            <w:pPr>
              <w:pStyle w:val="Compact"/>
            </w:pPr>
            <w:r>
              <w:t>‘quickly’</w:t>
            </w:r>
          </w:p>
        </w:tc>
        <w:tc>
          <w:tcPr>
            <w:tcW w:w="1750" w:type="dxa"/>
          </w:tcPr>
          <w:p w14:paraId="0B500108" w14:textId="77777777" w:rsidR="00D81E32" w:rsidRDefault="00000000">
            <w:pPr>
              <w:pStyle w:val="Compact"/>
            </w:pPr>
            <w:r>
              <w:t>-jumaar</w:t>
            </w:r>
          </w:p>
        </w:tc>
        <w:tc>
          <w:tcPr>
            <w:tcW w:w="2000" w:type="dxa"/>
          </w:tcPr>
          <w:p w14:paraId="1744493B" w14:textId="77777777" w:rsidR="00D81E32" w:rsidRDefault="00000000">
            <w:pPr>
              <w:pStyle w:val="Compact"/>
            </w:pPr>
            <w:r>
              <w:t>‘vague future’</w:t>
            </w:r>
          </w:p>
        </w:tc>
      </w:tr>
      <w:tr w:rsidR="00D81E32" w14:paraId="0279C8DE" w14:textId="77777777">
        <w:tc>
          <w:tcPr>
            <w:tcW w:w="2084" w:type="dxa"/>
          </w:tcPr>
          <w:p w14:paraId="49BF124A" w14:textId="77777777" w:rsidR="00D81E32" w:rsidRDefault="00000000">
            <w:pPr>
              <w:pStyle w:val="Compact"/>
            </w:pPr>
            <w:r>
              <w:t>-qqissaar</w:t>
            </w:r>
          </w:p>
        </w:tc>
        <w:tc>
          <w:tcPr>
            <w:tcW w:w="2084" w:type="dxa"/>
          </w:tcPr>
          <w:p w14:paraId="422D8C55" w14:textId="77777777" w:rsidR="00D81E32" w:rsidRDefault="00000000">
            <w:pPr>
              <w:pStyle w:val="Compact"/>
            </w:pPr>
            <w:r>
              <w:t>‘carefully’</w:t>
            </w:r>
          </w:p>
        </w:tc>
        <w:tc>
          <w:tcPr>
            <w:tcW w:w="1750" w:type="dxa"/>
          </w:tcPr>
          <w:p w14:paraId="686D5E7C" w14:textId="77777777" w:rsidR="00D81E32" w:rsidRDefault="00000000">
            <w:pPr>
              <w:pStyle w:val="Compact"/>
            </w:pPr>
            <w:r>
              <w:t>-qqammer</w:t>
            </w:r>
          </w:p>
        </w:tc>
        <w:tc>
          <w:tcPr>
            <w:tcW w:w="2000" w:type="dxa"/>
          </w:tcPr>
          <w:p w14:paraId="46CEB16F" w14:textId="77777777" w:rsidR="00D81E32" w:rsidRDefault="00000000">
            <w:pPr>
              <w:pStyle w:val="Compact"/>
            </w:pPr>
            <w:r>
              <w:t>‘recently’</w:t>
            </w:r>
          </w:p>
        </w:tc>
      </w:tr>
      <w:tr w:rsidR="00D81E32" w14:paraId="1939F9B3" w14:textId="77777777">
        <w:tc>
          <w:tcPr>
            <w:tcW w:w="2084" w:type="dxa"/>
          </w:tcPr>
          <w:p w14:paraId="151BA273" w14:textId="77777777" w:rsidR="00D81E32" w:rsidRDefault="00000000">
            <w:pPr>
              <w:pStyle w:val="Compact"/>
            </w:pPr>
            <w:r>
              <w:rPr>
                <w:b/>
                <w:bCs/>
              </w:rPr>
              <w:t>Verbalizing suffixes</w:t>
            </w:r>
          </w:p>
        </w:tc>
        <w:tc>
          <w:tcPr>
            <w:tcW w:w="2084" w:type="dxa"/>
          </w:tcPr>
          <w:p w14:paraId="6033D94A" w14:textId="77777777" w:rsidR="00D81E32" w:rsidRDefault="00D81E32">
            <w:pPr>
              <w:pStyle w:val="Compact"/>
            </w:pPr>
          </w:p>
        </w:tc>
        <w:tc>
          <w:tcPr>
            <w:tcW w:w="1750" w:type="dxa"/>
          </w:tcPr>
          <w:p w14:paraId="4023CF9D" w14:textId="77777777" w:rsidR="00D81E32" w:rsidRDefault="00D81E32">
            <w:pPr>
              <w:pStyle w:val="Compact"/>
            </w:pPr>
          </w:p>
        </w:tc>
        <w:tc>
          <w:tcPr>
            <w:tcW w:w="2000" w:type="dxa"/>
          </w:tcPr>
          <w:p w14:paraId="38E08ACF" w14:textId="77777777" w:rsidR="00D81E32" w:rsidRDefault="00D81E32">
            <w:pPr>
              <w:pStyle w:val="Compact"/>
            </w:pPr>
          </w:p>
        </w:tc>
      </w:tr>
      <w:tr w:rsidR="00D81E32" w14:paraId="5878A66E" w14:textId="77777777">
        <w:tc>
          <w:tcPr>
            <w:tcW w:w="2084" w:type="dxa"/>
          </w:tcPr>
          <w:p w14:paraId="602CFAFA" w14:textId="77777777" w:rsidR="00D81E32" w:rsidRDefault="00000000">
            <w:pPr>
              <w:pStyle w:val="Compact"/>
            </w:pPr>
            <w:r>
              <w:t>-liar</w:t>
            </w:r>
          </w:p>
        </w:tc>
        <w:tc>
          <w:tcPr>
            <w:tcW w:w="2084" w:type="dxa"/>
          </w:tcPr>
          <w:p w14:paraId="38A53671" w14:textId="77777777" w:rsidR="00D81E32" w:rsidRDefault="00000000">
            <w:pPr>
              <w:pStyle w:val="Compact"/>
            </w:pPr>
            <w:r>
              <w:t>‘go to’</w:t>
            </w:r>
          </w:p>
        </w:tc>
        <w:tc>
          <w:tcPr>
            <w:tcW w:w="1750" w:type="dxa"/>
          </w:tcPr>
          <w:p w14:paraId="35265CED" w14:textId="77777777" w:rsidR="00D81E32" w:rsidRDefault="00000000">
            <w:pPr>
              <w:pStyle w:val="Compact"/>
            </w:pPr>
            <w:r>
              <w:t>-nnngor</w:t>
            </w:r>
          </w:p>
        </w:tc>
        <w:tc>
          <w:tcPr>
            <w:tcW w:w="2000" w:type="dxa"/>
          </w:tcPr>
          <w:p w14:paraId="1BC7BBB4" w14:textId="77777777" w:rsidR="00D81E32" w:rsidRDefault="00000000">
            <w:pPr>
              <w:pStyle w:val="Compact"/>
            </w:pPr>
            <w:r>
              <w:t>‘become’</w:t>
            </w:r>
          </w:p>
        </w:tc>
      </w:tr>
      <w:tr w:rsidR="00D81E32" w14:paraId="06B22357" w14:textId="77777777">
        <w:tc>
          <w:tcPr>
            <w:tcW w:w="2084" w:type="dxa"/>
          </w:tcPr>
          <w:p w14:paraId="2795B316" w14:textId="77777777" w:rsidR="00D81E32" w:rsidRDefault="00000000">
            <w:pPr>
              <w:pStyle w:val="Compact"/>
            </w:pPr>
            <w:r>
              <w:t>-tor</w:t>
            </w:r>
          </w:p>
        </w:tc>
        <w:tc>
          <w:tcPr>
            <w:tcW w:w="2084" w:type="dxa"/>
          </w:tcPr>
          <w:p w14:paraId="350426C3" w14:textId="77777777" w:rsidR="00D81E32" w:rsidRDefault="00000000">
            <w:pPr>
              <w:pStyle w:val="Compact"/>
            </w:pPr>
            <w:r>
              <w:t>‘use, eat’</w:t>
            </w:r>
          </w:p>
        </w:tc>
        <w:tc>
          <w:tcPr>
            <w:tcW w:w="1750" w:type="dxa"/>
          </w:tcPr>
          <w:p w14:paraId="7B4FE386" w14:textId="77777777" w:rsidR="00D81E32" w:rsidRDefault="00000000">
            <w:pPr>
              <w:pStyle w:val="Compact"/>
            </w:pPr>
            <w:r>
              <w:t>-giig</w:t>
            </w:r>
          </w:p>
        </w:tc>
        <w:tc>
          <w:tcPr>
            <w:tcW w:w="2000" w:type="dxa"/>
          </w:tcPr>
          <w:p w14:paraId="42D87FF8" w14:textId="77777777" w:rsidR="00D81E32" w:rsidRDefault="00000000">
            <w:pPr>
              <w:pStyle w:val="Compact"/>
            </w:pPr>
            <w:r>
              <w:t>‘be mutually’</w:t>
            </w:r>
          </w:p>
        </w:tc>
      </w:tr>
      <w:tr w:rsidR="00D81E32" w14:paraId="656D62A5" w14:textId="77777777">
        <w:tc>
          <w:tcPr>
            <w:tcW w:w="2084" w:type="dxa"/>
          </w:tcPr>
          <w:p w14:paraId="7B0276B3" w14:textId="77777777" w:rsidR="00D81E32" w:rsidRDefault="00000000">
            <w:pPr>
              <w:pStyle w:val="Compact"/>
            </w:pPr>
            <w:r>
              <w:t>-sior</w:t>
            </w:r>
          </w:p>
        </w:tc>
        <w:tc>
          <w:tcPr>
            <w:tcW w:w="2084" w:type="dxa"/>
          </w:tcPr>
          <w:p w14:paraId="2890B6C7" w14:textId="77777777" w:rsidR="00D81E32" w:rsidRDefault="00000000">
            <w:pPr>
              <w:pStyle w:val="Compact"/>
            </w:pPr>
            <w:r>
              <w:t>‘look for’ / ‘celebrate’</w:t>
            </w:r>
          </w:p>
        </w:tc>
        <w:tc>
          <w:tcPr>
            <w:tcW w:w="1750" w:type="dxa"/>
          </w:tcPr>
          <w:p w14:paraId="52C0AC9C" w14:textId="77777777" w:rsidR="00D81E32" w:rsidRDefault="00000000">
            <w:pPr>
              <w:pStyle w:val="Compact"/>
            </w:pPr>
            <w:r>
              <w:t>-miit</w:t>
            </w:r>
          </w:p>
        </w:tc>
        <w:tc>
          <w:tcPr>
            <w:tcW w:w="2000" w:type="dxa"/>
          </w:tcPr>
          <w:p w14:paraId="44AABEFA" w14:textId="77777777" w:rsidR="00D81E32" w:rsidRDefault="00000000">
            <w:pPr>
              <w:pStyle w:val="Compact"/>
            </w:pPr>
            <w:r>
              <w:t>‘be in/on’</w:t>
            </w:r>
          </w:p>
        </w:tc>
      </w:tr>
      <w:tr w:rsidR="00D81E32" w14:paraId="1F011C7F" w14:textId="77777777">
        <w:tc>
          <w:tcPr>
            <w:tcW w:w="2084" w:type="dxa"/>
          </w:tcPr>
          <w:p w14:paraId="306E4E60" w14:textId="77777777" w:rsidR="00D81E32" w:rsidRDefault="00000000">
            <w:pPr>
              <w:pStyle w:val="Compact"/>
            </w:pPr>
            <w:r>
              <w:t>-ler</w:t>
            </w:r>
          </w:p>
        </w:tc>
        <w:tc>
          <w:tcPr>
            <w:tcW w:w="2084" w:type="dxa"/>
          </w:tcPr>
          <w:p w14:paraId="12C18B13" w14:textId="77777777" w:rsidR="00D81E32" w:rsidRDefault="00000000">
            <w:pPr>
              <w:pStyle w:val="Compact"/>
            </w:pPr>
            <w:r>
              <w:t>‘provide with’</w:t>
            </w:r>
          </w:p>
        </w:tc>
        <w:tc>
          <w:tcPr>
            <w:tcW w:w="1750" w:type="dxa"/>
          </w:tcPr>
          <w:p w14:paraId="26011558" w14:textId="77777777" w:rsidR="00D81E32" w:rsidRDefault="00000000">
            <w:pPr>
              <w:pStyle w:val="Compact"/>
            </w:pPr>
            <w:r>
              <w:t>-giiaar</w:t>
            </w:r>
          </w:p>
        </w:tc>
        <w:tc>
          <w:tcPr>
            <w:tcW w:w="2000" w:type="dxa"/>
          </w:tcPr>
          <w:p w14:paraId="129CA8B6" w14:textId="77777777" w:rsidR="00D81E32" w:rsidRDefault="00000000">
            <w:pPr>
              <w:pStyle w:val="Compact"/>
            </w:pPr>
            <w:r>
              <w:t>‘be mutually – several’</w:t>
            </w:r>
          </w:p>
        </w:tc>
      </w:tr>
    </w:tbl>
    <w:p w14:paraId="08AEE777" w14:textId="77777777" w:rsidR="00D81E32" w:rsidRDefault="00000000">
      <w:pPr>
        <w:pStyle w:val="BodyText"/>
      </w:pPr>
      <w:r>
        <w:t>Four suffixes in each category were verbal modifiers, meaning that they combine with verbal stems. The remaining four in each category were verbalizers, meaning that they combine with nominal stems to form a verb.</w:t>
      </w:r>
    </w:p>
    <w:p w14:paraId="38F283F7" w14:textId="77777777" w:rsidR="00D81E32" w:rsidRDefault="00000000">
      <w:pPr>
        <w:pStyle w:val="BodyText"/>
      </w:pPr>
      <w:r>
        <w:t>Each of the 16 target suffixes occurred in 10 different experimental items. The word containing the target suffix (henceforth the target word) always appeared in the middle sentence and never in sentence-initial or sentence-final position. The target word had the following structure: a root followed by a target suffix, a filler suffix (which was always grammatical) and an inflection. Example (4) illustrates a target word (target suffix marked in bold):</w:t>
      </w:r>
    </w:p>
    <w:p w14:paraId="4ABD7C5D" w14:textId="77777777" w:rsidR="00D81E32" w:rsidRDefault="00000000">
      <w:pPr>
        <w:numPr>
          <w:ilvl w:val="0"/>
          <w:numId w:val="5"/>
        </w:numPr>
      </w:pPr>
      <w:r>
        <w:rPr>
          <w:i/>
          <w:iCs/>
        </w:rPr>
        <w:t>nuannaartuaannarnikuuvoq</w:t>
      </w:r>
    </w:p>
    <w:p w14:paraId="6258C942" w14:textId="77777777" w:rsidR="00D81E32" w:rsidRDefault="00000000">
      <w:pPr>
        <w:numPr>
          <w:ilvl w:val="0"/>
          <w:numId w:val="1"/>
        </w:numPr>
      </w:pPr>
      <w:r>
        <w:rPr>
          <w:i/>
          <w:iCs/>
        </w:rPr>
        <w:lastRenderedPageBreak/>
        <w:t>nuannaar-</w:t>
      </w:r>
      <w:r>
        <w:rPr>
          <w:b/>
          <w:bCs/>
          <w:i/>
          <w:iCs/>
        </w:rPr>
        <w:t>tuaannar</w:t>
      </w:r>
      <w:r>
        <w:rPr>
          <w:i/>
          <w:iCs/>
        </w:rPr>
        <w:t>-nikuu-voq</w:t>
      </w:r>
    </w:p>
    <w:p w14:paraId="032DE224" w14:textId="77777777" w:rsidR="00D81E32" w:rsidRDefault="00000000">
      <w:pPr>
        <w:numPr>
          <w:ilvl w:val="0"/>
          <w:numId w:val="1"/>
        </w:numPr>
      </w:pPr>
      <w:r>
        <w:t>be.happy-</w:t>
      </w:r>
      <w:r>
        <w:rPr>
          <w:b/>
          <w:bCs/>
        </w:rPr>
        <w:t>always</w:t>
      </w:r>
      <w:r>
        <w:t>-PRF-DECL.3SG</w:t>
      </w:r>
    </w:p>
    <w:p w14:paraId="1249278B" w14:textId="77777777" w:rsidR="00D81E32" w:rsidRDefault="00000000">
      <w:pPr>
        <w:numPr>
          <w:ilvl w:val="0"/>
          <w:numId w:val="1"/>
        </w:numPr>
      </w:pPr>
      <w:r>
        <w:t>‘he was always happy’</w:t>
      </w:r>
    </w:p>
    <w:p w14:paraId="1B7EB646" w14:textId="77777777" w:rsidR="00D81E32" w:rsidRDefault="00000000">
      <w:pPr>
        <w:pStyle w:val="FirstParagraph"/>
      </w:pPr>
      <w:r>
        <w:t>The root of the target word (including any morphophonologically motivated linking elements) was always between 7 and 11 letters long</w:t>
      </w:r>
      <w:r>
        <w:rPr>
          <w:rStyle w:val="FootnoteReference"/>
        </w:rPr>
        <w:footnoteReference w:id="4"/>
      </w:r>
      <w:r>
        <w:t>. A requirement was that the root have its own entry in the online dictionaries provided by Oqaasileriffik, The Language Secretariat of Greenland (</w:t>
      </w:r>
      <w:hyperlink r:id="rId8">
        <w:r>
          <w:rPr>
            <w:rStyle w:val="Hyperlink"/>
          </w:rPr>
          <w:t>https://ordbog.gl/</w:t>
        </w:r>
      </w:hyperlink>
      <w:r>
        <w:t>). The combination of root and target suffix must not have its own entry in the dictionary, as this would indicate that it is a lexicalized combination.</w:t>
      </w:r>
    </w:p>
    <w:p w14:paraId="67235D70" w14:textId="77777777" w:rsidR="00D81E32" w:rsidRDefault="00000000">
      <w:pPr>
        <w:pStyle w:val="BodyText"/>
      </w:pPr>
      <w:r>
        <w:t>For each item, NBT (a native speaker linguist) evaluated on a case-by-case basis where the boundaries of the target suffix should be drawn. In cases where a letter (most often r) could be analyzed as belonging to two morphemes due to morphophonological overlap, it was counted as part of the non-target morpheme.</w:t>
      </w:r>
    </w:p>
    <w:p w14:paraId="52C492DD" w14:textId="77777777" w:rsidR="00D81E32" w:rsidRDefault="00000000">
      <w:pPr>
        <w:pStyle w:val="BodyText"/>
      </w:pPr>
      <w:r>
        <w:t>The third sentence in each item always contained a morphologically simple word which was either lexical or grammatical. The purpose of this was to establish a word-level baseline which could serve as a reference point for analyses of the target suffixes.</w:t>
      </w:r>
    </w:p>
    <w:p w14:paraId="5A4307D1" w14:textId="77777777" w:rsidR="00D81E32" w:rsidRDefault="00000000">
      <w:pPr>
        <w:pStyle w:val="BodyText"/>
      </w:pPr>
      <w:r>
        <w:t>8 lexical and 8 grammatical baseline words were chosen (Table 3.2) based on the modification criterion. The lexical words were nouns in the absolutive form. Given that Kalaallisut exhibits ergative–absolutive alignment and that the absolutive is zero-marked, these forms are morphologically simple. The grammatical words were conjunctions.</w:t>
      </w:r>
    </w:p>
    <w:p w14:paraId="588FCD78" w14:textId="77777777" w:rsidR="00D81E32" w:rsidRDefault="00000000">
      <w:pPr>
        <w:pStyle w:val="TableCaption"/>
      </w:pPr>
      <w:bookmarkStart w:id="8" w:name="tab:table2"/>
      <w:bookmarkEnd w:id="8"/>
      <w:r>
        <w:t>Table 3.2: Lexical and grammatical baseline words</w:t>
      </w:r>
    </w:p>
    <w:tbl>
      <w:tblPr>
        <w:tblStyle w:val="Table"/>
        <w:tblW w:w="5000" w:type="pct"/>
        <w:tblLayout w:type="fixed"/>
        <w:tblLook w:val="0020" w:firstRow="1" w:lastRow="0" w:firstColumn="0" w:lastColumn="0" w:noHBand="0" w:noVBand="0"/>
      </w:tblPr>
      <w:tblGrid>
        <w:gridCol w:w="3018"/>
        <w:gridCol w:w="1180"/>
        <w:gridCol w:w="3542"/>
        <w:gridCol w:w="1836"/>
      </w:tblGrid>
      <w:tr w:rsidR="00D81E32" w14:paraId="12E1491D" w14:textId="77777777" w:rsidTr="00D81E32">
        <w:trPr>
          <w:cnfStyle w:val="100000000000" w:firstRow="1" w:lastRow="0" w:firstColumn="0" w:lastColumn="0" w:oddVBand="0" w:evenVBand="0" w:oddHBand="0" w:evenHBand="0" w:firstRowFirstColumn="0" w:firstRowLastColumn="0" w:lastRowFirstColumn="0" w:lastRowLastColumn="0"/>
          <w:tblHeader/>
        </w:trPr>
        <w:tc>
          <w:tcPr>
            <w:tcW w:w="2495" w:type="dxa"/>
          </w:tcPr>
          <w:p w14:paraId="1FCA47B1" w14:textId="77777777" w:rsidR="00D81E32" w:rsidRDefault="00000000">
            <w:pPr>
              <w:pStyle w:val="Compact"/>
            </w:pPr>
            <w:r>
              <w:t>Lexical baseline words</w:t>
            </w:r>
          </w:p>
        </w:tc>
        <w:tc>
          <w:tcPr>
            <w:tcW w:w="976" w:type="dxa"/>
          </w:tcPr>
          <w:p w14:paraId="2E2D15A3" w14:textId="77777777" w:rsidR="00D81E32" w:rsidRDefault="00D81E32">
            <w:pPr>
              <w:pStyle w:val="Compact"/>
            </w:pPr>
          </w:p>
        </w:tc>
        <w:tc>
          <w:tcPr>
            <w:tcW w:w="2929" w:type="dxa"/>
          </w:tcPr>
          <w:p w14:paraId="12A3DADF" w14:textId="77777777" w:rsidR="00D81E32" w:rsidRDefault="00000000">
            <w:pPr>
              <w:pStyle w:val="Compact"/>
            </w:pPr>
            <w:r>
              <w:t>Grammatical baseline words</w:t>
            </w:r>
          </w:p>
        </w:tc>
        <w:tc>
          <w:tcPr>
            <w:tcW w:w="1518" w:type="dxa"/>
          </w:tcPr>
          <w:p w14:paraId="33104985" w14:textId="77777777" w:rsidR="00D81E32" w:rsidRDefault="00D81E32">
            <w:pPr>
              <w:pStyle w:val="Compact"/>
            </w:pPr>
          </w:p>
        </w:tc>
      </w:tr>
      <w:tr w:rsidR="00D81E32" w14:paraId="2037A62A" w14:textId="77777777">
        <w:tc>
          <w:tcPr>
            <w:tcW w:w="2495" w:type="dxa"/>
          </w:tcPr>
          <w:p w14:paraId="67BE902F" w14:textId="77777777" w:rsidR="00D81E32" w:rsidRDefault="00000000">
            <w:pPr>
              <w:pStyle w:val="Compact"/>
            </w:pPr>
            <w:r>
              <w:t>matu</w:t>
            </w:r>
          </w:p>
        </w:tc>
        <w:tc>
          <w:tcPr>
            <w:tcW w:w="976" w:type="dxa"/>
          </w:tcPr>
          <w:p w14:paraId="14AE5330" w14:textId="77777777" w:rsidR="00D81E32" w:rsidRDefault="00000000">
            <w:pPr>
              <w:pStyle w:val="Compact"/>
            </w:pPr>
            <w:r>
              <w:t>‘door’</w:t>
            </w:r>
          </w:p>
        </w:tc>
        <w:tc>
          <w:tcPr>
            <w:tcW w:w="2929" w:type="dxa"/>
          </w:tcPr>
          <w:p w14:paraId="7EBA126E" w14:textId="77777777" w:rsidR="00D81E32" w:rsidRDefault="00000000">
            <w:pPr>
              <w:pStyle w:val="Compact"/>
            </w:pPr>
            <w:r>
              <w:t>naak</w:t>
            </w:r>
          </w:p>
        </w:tc>
        <w:tc>
          <w:tcPr>
            <w:tcW w:w="1518" w:type="dxa"/>
          </w:tcPr>
          <w:p w14:paraId="4361F66E" w14:textId="77777777" w:rsidR="00D81E32" w:rsidRDefault="00000000">
            <w:pPr>
              <w:pStyle w:val="Compact"/>
            </w:pPr>
            <w:r>
              <w:t>‘even if’</w:t>
            </w:r>
          </w:p>
        </w:tc>
      </w:tr>
      <w:tr w:rsidR="00D81E32" w14:paraId="629A7BD2" w14:textId="77777777">
        <w:tc>
          <w:tcPr>
            <w:tcW w:w="2495" w:type="dxa"/>
          </w:tcPr>
          <w:p w14:paraId="11EE68AF" w14:textId="77777777" w:rsidR="00D81E32" w:rsidRDefault="00000000">
            <w:pPr>
              <w:pStyle w:val="Compact"/>
            </w:pPr>
            <w:r>
              <w:t>tipi</w:t>
            </w:r>
          </w:p>
        </w:tc>
        <w:tc>
          <w:tcPr>
            <w:tcW w:w="976" w:type="dxa"/>
          </w:tcPr>
          <w:p w14:paraId="0232C9BC" w14:textId="77777777" w:rsidR="00D81E32" w:rsidRDefault="00000000">
            <w:pPr>
              <w:pStyle w:val="Compact"/>
            </w:pPr>
            <w:r>
              <w:t>‘smell’</w:t>
            </w:r>
          </w:p>
        </w:tc>
        <w:tc>
          <w:tcPr>
            <w:tcW w:w="2929" w:type="dxa"/>
          </w:tcPr>
          <w:p w14:paraId="7171E1B3" w14:textId="77777777" w:rsidR="00D81E32" w:rsidRDefault="00000000">
            <w:pPr>
              <w:pStyle w:val="Compact"/>
            </w:pPr>
            <w:r>
              <w:t>uffa</w:t>
            </w:r>
          </w:p>
        </w:tc>
        <w:tc>
          <w:tcPr>
            <w:tcW w:w="1518" w:type="dxa"/>
          </w:tcPr>
          <w:p w14:paraId="38EC76E8" w14:textId="77777777" w:rsidR="00D81E32" w:rsidRDefault="00000000">
            <w:pPr>
              <w:pStyle w:val="Compact"/>
            </w:pPr>
            <w:r>
              <w:t>‘though’</w:t>
            </w:r>
          </w:p>
        </w:tc>
      </w:tr>
      <w:tr w:rsidR="00D81E32" w14:paraId="34009614" w14:textId="77777777">
        <w:tc>
          <w:tcPr>
            <w:tcW w:w="2495" w:type="dxa"/>
          </w:tcPr>
          <w:p w14:paraId="5B8D0373" w14:textId="77777777" w:rsidR="00D81E32" w:rsidRDefault="00000000">
            <w:pPr>
              <w:pStyle w:val="Compact"/>
            </w:pPr>
            <w:r>
              <w:t>siunnersuut</w:t>
            </w:r>
          </w:p>
        </w:tc>
        <w:tc>
          <w:tcPr>
            <w:tcW w:w="976" w:type="dxa"/>
          </w:tcPr>
          <w:p w14:paraId="4BCA3CA7" w14:textId="77777777" w:rsidR="00D81E32" w:rsidRDefault="00000000">
            <w:pPr>
              <w:pStyle w:val="Compact"/>
            </w:pPr>
            <w:r>
              <w:t>‘advice’</w:t>
            </w:r>
          </w:p>
        </w:tc>
        <w:tc>
          <w:tcPr>
            <w:tcW w:w="2929" w:type="dxa"/>
          </w:tcPr>
          <w:p w14:paraId="28859F65" w14:textId="77777777" w:rsidR="00D81E32" w:rsidRDefault="00000000">
            <w:pPr>
              <w:pStyle w:val="Compact"/>
            </w:pPr>
            <w:r>
              <w:t>imaluunniit</w:t>
            </w:r>
          </w:p>
        </w:tc>
        <w:tc>
          <w:tcPr>
            <w:tcW w:w="1518" w:type="dxa"/>
          </w:tcPr>
          <w:p w14:paraId="2940BF88" w14:textId="77777777" w:rsidR="00D81E32" w:rsidRDefault="00000000">
            <w:pPr>
              <w:pStyle w:val="Compact"/>
            </w:pPr>
            <w:r>
              <w:t>‘or’</w:t>
            </w:r>
          </w:p>
        </w:tc>
      </w:tr>
      <w:tr w:rsidR="00D81E32" w14:paraId="306F1C66" w14:textId="77777777">
        <w:tc>
          <w:tcPr>
            <w:tcW w:w="2495" w:type="dxa"/>
          </w:tcPr>
          <w:p w14:paraId="158A56A8" w14:textId="77777777" w:rsidR="00D81E32" w:rsidRDefault="00000000">
            <w:pPr>
              <w:pStyle w:val="Compact"/>
            </w:pPr>
            <w:r>
              <w:t>kaffi</w:t>
            </w:r>
          </w:p>
        </w:tc>
        <w:tc>
          <w:tcPr>
            <w:tcW w:w="976" w:type="dxa"/>
          </w:tcPr>
          <w:p w14:paraId="772B3941" w14:textId="77777777" w:rsidR="00D81E32" w:rsidRDefault="00000000">
            <w:pPr>
              <w:pStyle w:val="Compact"/>
            </w:pPr>
            <w:r>
              <w:t>‘coffee’</w:t>
            </w:r>
          </w:p>
        </w:tc>
        <w:tc>
          <w:tcPr>
            <w:tcW w:w="2929" w:type="dxa"/>
          </w:tcPr>
          <w:p w14:paraId="504064BA" w14:textId="77777777" w:rsidR="00D81E32" w:rsidRDefault="00000000">
            <w:pPr>
              <w:pStyle w:val="Compact"/>
            </w:pPr>
            <w:r>
              <w:t>massa</w:t>
            </w:r>
          </w:p>
        </w:tc>
        <w:tc>
          <w:tcPr>
            <w:tcW w:w="1518" w:type="dxa"/>
          </w:tcPr>
          <w:p w14:paraId="516525FC" w14:textId="77777777" w:rsidR="00D81E32" w:rsidRDefault="00000000">
            <w:pPr>
              <w:pStyle w:val="Compact"/>
            </w:pPr>
            <w:r>
              <w:t>‘even though’</w:t>
            </w:r>
          </w:p>
        </w:tc>
      </w:tr>
      <w:tr w:rsidR="00D81E32" w14:paraId="0FB9DA51" w14:textId="77777777">
        <w:tc>
          <w:tcPr>
            <w:tcW w:w="2495" w:type="dxa"/>
          </w:tcPr>
          <w:p w14:paraId="31A14574" w14:textId="77777777" w:rsidR="00D81E32" w:rsidRDefault="00000000">
            <w:pPr>
              <w:pStyle w:val="Compact"/>
            </w:pPr>
            <w:r>
              <w:t>pisortaq</w:t>
            </w:r>
          </w:p>
        </w:tc>
        <w:tc>
          <w:tcPr>
            <w:tcW w:w="976" w:type="dxa"/>
          </w:tcPr>
          <w:p w14:paraId="12F24929" w14:textId="77777777" w:rsidR="00D81E32" w:rsidRDefault="00000000">
            <w:pPr>
              <w:pStyle w:val="Compact"/>
            </w:pPr>
            <w:r>
              <w:t>‘boss’</w:t>
            </w:r>
          </w:p>
        </w:tc>
        <w:tc>
          <w:tcPr>
            <w:tcW w:w="2929" w:type="dxa"/>
          </w:tcPr>
          <w:p w14:paraId="73ED7173" w14:textId="77777777" w:rsidR="00D81E32" w:rsidRDefault="00000000">
            <w:pPr>
              <w:pStyle w:val="Compact"/>
            </w:pPr>
            <w:r>
              <w:t>kisianni</w:t>
            </w:r>
          </w:p>
        </w:tc>
        <w:tc>
          <w:tcPr>
            <w:tcW w:w="1518" w:type="dxa"/>
          </w:tcPr>
          <w:p w14:paraId="77263485" w14:textId="77777777" w:rsidR="00D81E32" w:rsidRDefault="00000000">
            <w:pPr>
              <w:pStyle w:val="Compact"/>
            </w:pPr>
            <w:r>
              <w:t>‘but’</w:t>
            </w:r>
          </w:p>
        </w:tc>
      </w:tr>
      <w:tr w:rsidR="00D81E32" w14:paraId="2E8F8BC6" w14:textId="77777777">
        <w:tc>
          <w:tcPr>
            <w:tcW w:w="2495" w:type="dxa"/>
          </w:tcPr>
          <w:p w14:paraId="67F8FC9C" w14:textId="77777777" w:rsidR="00D81E32" w:rsidRDefault="00000000">
            <w:pPr>
              <w:pStyle w:val="Compact"/>
            </w:pPr>
            <w:r>
              <w:t>angut</w:t>
            </w:r>
          </w:p>
        </w:tc>
        <w:tc>
          <w:tcPr>
            <w:tcW w:w="976" w:type="dxa"/>
          </w:tcPr>
          <w:p w14:paraId="55FFECCC" w14:textId="77777777" w:rsidR="00D81E32" w:rsidRDefault="00000000">
            <w:pPr>
              <w:pStyle w:val="Compact"/>
            </w:pPr>
            <w:r>
              <w:t>‘man’</w:t>
            </w:r>
          </w:p>
        </w:tc>
        <w:tc>
          <w:tcPr>
            <w:tcW w:w="2929" w:type="dxa"/>
          </w:tcPr>
          <w:p w14:paraId="562C3F2D" w14:textId="77777777" w:rsidR="00D81E32" w:rsidRDefault="00000000">
            <w:pPr>
              <w:pStyle w:val="Compact"/>
            </w:pPr>
            <w:r>
              <w:t>taava</w:t>
            </w:r>
          </w:p>
        </w:tc>
        <w:tc>
          <w:tcPr>
            <w:tcW w:w="1518" w:type="dxa"/>
          </w:tcPr>
          <w:p w14:paraId="7A807EDB" w14:textId="77777777" w:rsidR="00D81E32" w:rsidRDefault="00000000">
            <w:pPr>
              <w:pStyle w:val="Compact"/>
            </w:pPr>
            <w:r>
              <w:t>‘so, then’</w:t>
            </w:r>
          </w:p>
        </w:tc>
      </w:tr>
      <w:tr w:rsidR="00D81E32" w14:paraId="5BFFAEDE" w14:textId="77777777">
        <w:tc>
          <w:tcPr>
            <w:tcW w:w="2495" w:type="dxa"/>
          </w:tcPr>
          <w:p w14:paraId="53F1FA47" w14:textId="77777777" w:rsidR="00D81E32" w:rsidRDefault="00000000">
            <w:pPr>
              <w:pStyle w:val="Compact"/>
            </w:pPr>
            <w:r>
              <w:t>angajoqqaaq</w:t>
            </w:r>
          </w:p>
        </w:tc>
        <w:tc>
          <w:tcPr>
            <w:tcW w:w="976" w:type="dxa"/>
          </w:tcPr>
          <w:p w14:paraId="051B5D59" w14:textId="77777777" w:rsidR="00D81E32" w:rsidRDefault="00000000">
            <w:pPr>
              <w:pStyle w:val="Compact"/>
            </w:pPr>
            <w:r>
              <w:t>‘parent’</w:t>
            </w:r>
          </w:p>
        </w:tc>
        <w:tc>
          <w:tcPr>
            <w:tcW w:w="2929" w:type="dxa"/>
          </w:tcPr>
          <w:p w14:paraId="05D8D3DC" w14:textId="77777777" w:rsidR="00D81E32" w:rsidRDefault="00000000">
            <w:pPr>
              <w:pStyle w:val="Compact"/>
            </w:pPr>
            <w:r>
              <w:t>taamaallaat</w:t>
            </w:r>
          </w:p>
        </w:tc>
        <w:tc>
          <w:tcPr>
            <w:tcW w:w="1518" w:type="dxa"/>
          </w:tcPr>
          <w:p w14:paraId="6A445F0F" w14:textId="77777777" w:rsidR="00D81E32" w:rsidRDefault="00000000">
            <w:pPr>
              <w:pStyle w:val="Compact"/>
            </w:pPr>
            <w:r>
              <w:t>‘but, only’</w:t>
            </w:r>
          </w:p>
        </w:tc>
      </w:tr>
      <w:tr w:rsidR="00D81E32" w14:paraId="55693833" w14:textId="77777777">
        <w:tc>
          <w:tcPr>
            <w:tcW w:w="2495" w:type="dxa"/>
          </w:tcPr>
          <w:p w14:paraId="7AE4747B" w14:textId="77777777" w:rsidR="00D81E32" w:rsidRDefault="00000000">
            <w:pPr>
              <w:pStyle w:val="Compact"/>
            </w:pPr>
            <w:r>
              <w:t>nuna</w:t>
            </w:r>
          </w:p>
        </w:tc>
        <w:tc>
          <w:tcPr>
            <w:tcW w:w="976" w:type="dxa"/>
          </w:tcPr>
          <w:p w14:paraId="295579DD" w14:textId="77777777" w:rsidR="00D81E32" w:rsidRDefault="00000000">
            <w:pPr>
              <w:pStyle w:val="Compact"/>
            </w:pPr>
            <w:r>
              <w:t>‘area’</w:t>
            </w:r>
          </w:p>
        </w:tc>
        <w:tc>
          <w:tcPr>
            <w:tcW w:w="2929" w:type="dxa"/>
          </w:tcPr>
          <w:p w14:paraId="4F30CB68" w14:textId="77777777" w:rsidR="00D81E32" w:rsidRDefault="00000000">
            <w:pPr>
              <w:pStyle w:val="Compact"/>
            </w:pPr>
            <w:r>
              <w:t>aamma</w:t>
            </w:r>
          </w:p>
        </w:tc>
        <w:tc>
          <w:tcPr>
            <w:tcW w:w="1518" w:type="dxa"/>
          </w:tcPr>
          <w:p w14:paraId="1DF8307F" w14:textId="77777777" w:rsidR="00D81E32" w:rsidRDefault="00000000">
            <w:pPr>
              <w:pStyle w:val="Compact"/>
            </w:pPr>
            <w:r>
              <w:t>‘and’</w:t>
            </w:r>
          </w:p>
        </w:tc>
      </w:tr>
    </w:tbl>
    <w:p w14:paraId="409DE1FB" w14:textId="77777777" w:rsidR="00D81E32" w:rsidRDefault="00000000">
      <w:pPr>
        <w:pStyle w:val="BodyText"/>
      </w:pPr>
      <w:r>
        <w:lastRenderedPageBreak/>
        <w:t>Each baseline word occurred in 10 different experimental items. Like the target word, the baseline word was never sentence-initial nor sentence-final.</w:t>
      </w:r>
    </w:p>
    <w:p w14:paraId="03F331C7" w14:textId="77777777" w:rsidR="00D81E32" w:rsidRDefault="00000000">
      <w:pPr>
        <w:pStyle w:val="BodyText"/>
      </w:pPr>
      <w:r>
        <w:t>Example (5) shows a full experimental item. The target suffix and baseline word are marked in bold.</w:t>
      </w:r>
    </w:p>
    <w:p w14:paraId="23C95FBC" w14:textId="77777777" w:rsidR="00D81E32" w:rsidRDefault="00000000">
      <w:pPr>
        <w:numPr>
          <w:ilvl w:val="0"/>
          <w:numId w:val="6"/>
        </w:numPr>
      </w:pPr>
      <w:r>
        <w:t>Ualiuvoq silamilu anorsaalaarpoq.</w:t>
      </w:r>
    </w:p>
    <w:p w14:paraId="7F6A6ADC" w14:textId="77777777" w:rsidR="00D81E32" w:rsidRDefault="00000000">
      <w:pPr>
        <w:numPr>
          <w:ilvl w:val="0"/>
          <w:numId w:val="1"/>
        </w:numPr>
      </w:pPr>
      <w:r>
        <w:t>‘It is afternoon and there is a light breeze.’</w:t>
      </w:r>
    </w:p>
    <w:p w14:paraId="309289A3" w14:textId="77777777" w:rsidR="00D81E32" w:rsidRDefault="00000000">
      <w:pPr>
        <w:numPr>
          <w:ilvl w:val="0"/>
          <w:numId w:val="1"/>
        </w:numPr>
      </w:pPr>
      <w:r>
        <w:t>Marie pisiniarfim</w:t>
      </w:r>
      <w:r>
        <w:rPr>
          <w:b/>
          <w:bCs/>
        </w:rPr>
        <w:t>miin</w:t>
      </w:r>
      <w:r>
        <w:t>nikuulluni angerlamut pisorujoorpoq.</w:t>
      </w:r>
    </w:p>
    <w:p w14:paraId="00B6F4AE" w14:textId="77777777" w:rsidR="00D81E32" w:rsidRDefault="00000000">
      <w:pPr>
        <w:numPr>
          <w:ilvl w:val="0"/>
          <w:numId w:val="1"/>
        </w:numPr>
      </w:pPr>
      <w:r>
        <w:t xml:space="preserve">‘Marie is on her way home after having </w:t>
      </w:r>
      <w:r>
        <w:rPr>
          <w:b/>
          <w:bCs/>
        </w:rPr>
        <w:t>been to</w:t>
      </w:r>
      <w:r>
        <w:t xml:space="preserve"> the supermarket.’</w:t>
      </w:r>
    </w:p>
    <w:p w14:paraId="05D56F1C" w14:textId="77777777" w:rsidR="00D81E32" w:rsidRDefault="00000000">
      <w:pPr>
        <w:numPr>
          <w:ilvl w:val="0"/>
          <w:numId w:val="1"/>
        </w:numPr>
      </w:pPr>
      <w:r>
        <w:t xml:space="preserve">Aqqutaani </w:t>
      </w:r>
      <w:r>
        <w:rPr>
          <w:b/>
          <w:bCs/>
        </w:rPr>
        <w:t>angut</w:t>
      </w:r>
      <w:r>
        <w:t xml:space="preserve"> suleqatikuni naapippaa.</w:t>
      </w:r>
    </w:p>
    <w:p w14:paraId="68144BFA" w14:textId="77777777" w:rsidR="00D81E32" w:rsidRDefault="00000000">
      <w:pPr>
        <w:numPr>
          <w:ilvl w:val="0"/>
          <w:numId w:val="1"/>
        </w:numPr>
      </w:pPr>
      <w:r>
        <w:t>’On the way, she meets a former (</w:t>
      </w:r>
      <w:r>
        <w:rPr>
          <w:b/>
          <w:bCs/>
        </w:rPr>
        <w:t>male</w:t>
      </w:r>
      <w:r>
        <w:t>) colleague.’</w:t>
      </w:r>
    </w:p>
    <w:p w14:paraId="6DB3B41B" w14:textId="77777777" w:rsidR="00D81E32" w:rsidRDefault="00000000">
      <w:pPr>
        <w:pStyle w:val="FirstParagraph"/>
      </w:pPr>
      <w:r>
        <w:t>All 160 items were constructed in collaboration with professional translators and checked and proofread by authors DDD and EEE.</w:t>
      </w:r>
    </w:p>
    <w:p w14:paraId="22115B2F" w14:textId="77777777" w:rsidR="00D81E32" w:rsidRDefault="00000000">
      <w:pPr>
        <w:pStyle w:val="BodyText"/>
      </w:pPr>
      <w:r>
        <w:t>The lexical and grammatical target suffixes were matched, as far as possible, with respect to frequency and length (summary statistics in Table 3.3). Frequency was measured as the absolute number of occurrences in the Kalaallisut corpus provided by Oqaasileriffik, The Language Secretariat of Greenland (</w:t>
      </w:r>
      <w:hyperlink r:id="rId9">
        <w:r>
          <w:rPr>
            <w:rStyle w:val="Hyperlink"/>
          </w:rPr>
          <w:t>https://oqaasileriffik.gl/da/sprogteknologi/korpus/</w:t>
        </w:r>
      </w:hyperlink>
      <w:r>
        <w:t>).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14:paraId="0EE3D8CB" w14:textId="77777777" w:rsidR="00D81E32" w:rsidRDefault="00000000">
      <w:pPr>
        <w:pStyle w:val="TableCaption"/>
      </w:pPr>
      <w:bookmarkStart w:id="9" w:name="tab:table3"/>
      <w:bookmarkEnd w:id="9"/>
      <w:r>
        <w:t>Table 3.3: Summary statistics for lexical and grammatical target suffixes</w:t>
      </w:r>
    </w:p>
    <w:tbl>
      <w:tblPr>
        <w:tblStyle w:val="Table"/>
        <w:tblW w:w="0" w:type="auto"/>
        <w:jc w:val="center"/>
        <w:tblLayout w:type="fixed"/>
        <w:tblLook w:val="0420" w:firstRow="1" w:lastRow="0" w:firstColumn="0" w:lastColumn="0" w:noHBand="0" w:noVBand="1"/>
      </w:tblPr>
      <w:tblGrid>
        <w:gridCol w:w="2261"/>
        <w:gridCol w:w="1662"/>
        <w:gridCol w:w="1601"/>
      </w:tblGrid>
      <w:tr w:rsidR="00D81E32" w14:paraId="02610B50" w14:textId="77777777" w:rsidTr="00D81E32">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5600987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6FE7152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F2465C6"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r>
      <w:tr w:rsidR="00D81E32" w14:paraId="60E5CECF"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BC03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0B15F7"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3.97 (1.11)</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5696D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4.23 (0.55)</w:t>
            </w:r>
          </w:p>
        </w:tc>
      </w:tr>
      <w:tr w:rsidR="00D81E32" w14:paraId="790B07ED"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BBC14"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AB4625"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5.04 (1.11)</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AEF572"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4.70 (1.98)</w:t>
            </w:r>
          </w:p>
        </w:tc>
      </w:tr>
      <w:tr w:rsidR="00D81E32" w14:paraId="24A34726" w14:textId="77777777" w:rsidTr="00D81E32">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73C166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166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734E28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-2.83 (1.29)</w:t>
            </w:r>
          </w:p>
        </w:tc>
        <w:tc>
          <w:tcPr>
            <w:tcW w:w="16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2E274A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-3.18 (1.30)</w:t>
            </w:r>
          </w:p>
        </w:tc>
      </w:tr>
      <w:tr w:rsidR="00D81E32" w14:paraId="79BD2E23" w14:textId="77777777" w:rsidTr="00D81E32">
        <w:trPr>
          <w:jc w:val="center"/>
        </w:trPr>
        <w:tc>
          <w:tcPr>
            <w:tcW w:w="5524" w:type="dxa"/>
            <w:gridSpan w:val="3"/>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D5406"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length and predictability (SD) of target suffixes by suffix category. Frequency and predictability are log10-transformed. Length (in letters) is across all items (the length of a suffix may vary from item to item due to morphophonology).</w:t>
            </w:r>
          </w:p>
        </w:tc>
      </w:tr>
    </w:tbl>
    <w:p w14:paraId="699FEB40" w14:textId="77777777" w:rsidR="00D81E32" w:rsidRDefault="00000000">
      <w:pPr>
        <w:pStyle w:val="BodyText"/>
      </w:pPr>
      <w:r>
        <w:lastRenderedPageBreak/>
        <w:t>The baseline words were matched pairwise on frequency and length (summary statistics in Table 3.4).</w:t>
      </w:r>
    </w:p>
    <w:p w14:paraId="3710DDE0" w14:textId="77777777" w:rsidR="00D81E32" w:rsidRDefault="00000000">
      <w:pPr>
        <w:pStyle w:val="TableCaption"/>
      </w:pPr>
      <w:bookmarkStart w:id="10" w:name="tab:table4"/>
      <w:bookmarkEnd w:id="10"/>
      <w:r>
        <w:t>Table 3.4: Summary statistics for lexical and grammatical baseline words</w:t>
      </w:r>
    </w:p>
    <w:tbl>
      <w:tblPr>
        <w:tblStyle w:val="Table"/>
        <w:tblW w:w="0" w:type="auto"/>
        <w:jc w:val="center"/>
        <w:tblLayout w:type="fixed"/>
        <w:tblLook w:val="0420" w:firstRow="1" w:lastRow="0" w:firstColumn="0" w:lastColumn="0" w:noHBand="0" w:noVBand="1"/>
      </w:tblPr>
      <w:tblGrid>
        <w:gridCol w:w="1968"/>
        <w:gridCol w:w="1662"/>
        <w:gridCol w:w="1528"/>
      </w:tblGrid>
      <w:tr w:rsidR="00D81E32" w14:paraId="52C23E5F" w14:textId="77777777" w:rsidTr="00D81E32">
        <w:trPr>
          <w:cnfStyle w:val="100000000000" w:firstRow="1" w:lastRow="0" w:firstColumn="0" w:lastColumn="0" w:oddVBand="0" w:evenVBand="0" w:oddHBand="0" w:evenHBand="0" w:firstRowFirstColumn="0" w:firstRowLastColumn="0" w:lastRowFirstColumn="0" w:lastRowLastColumn="0"/>
          <w:jc w:val="center"/>
        </w:trPr>
        <w:tc>
          <w:tcPr>
            <w:tcW w:w="19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1D1CBC3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726E05D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15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1E1E95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r>
      <w:tr w:rsidR="00D81E32" w14:paraId="21663DA0" w14:textId="77777777" w:rsidTr="00D81E32">
        <w:trPr>
          <w:jc w:val="center"/>
        </w:trPr>
        <w:tc>
          <w:tcPr>
            <w:tcW w:w="19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DF9517"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frequency</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73DE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4.31 (0.71)</w:t>
            </w:r>
          </w:p>
        </w:tc>
        <w:tc>
          <w:tcPr>
            <w:tcW w:w="15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F1A7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4.37 (0.72)</w:t>
            </w:r>
          </w:p>
        </w:tc>
      </w:tr>
      <w:tr w:rsidR="00D81E32" w14:paraId="6544ABB4" w14:textId="77777777" w:rsidTr="00D81E32">
        <w:trPr>
          <w:jc w:val="center"/>
        </w:trPr>
        <w:tc>
          <w:tcPr>
            <w:tcW w:w="196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A56F9B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length</w:t>
            </w:r>
          </w:p>
        </w:tc>
        <w:tc>
          <w:tcPr>
            <w:tcW w:w="166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5B7C6F7"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6.62 (2.97)</w:t>
            </w:r>
          </w:p>
        </w:tc>
        <w:tc>
          <w:tcPr>
            <w:tcW w:w="152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658BC8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6.50 (3.07)</w:t>
            </w:r>
          </w:p>
        </w:tc>
      </w:tr>
      <w:tr w:rsidR="00D81E32" w14:paraId="2F5E4CB2" w14:textId="77777777" w:rsidTr="00D81E32">
        <w:trPr>
          <w:jc w:val="center"/>
        </w:trPr>
        <w:tc>
          <w:tcPr>
            <w:tcW w:w="5158" w:type="dxa"/>
            <w:gridSpan w:val="3"/>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7C087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and length (SD) of baseline words. Frequency is log10-transformed.</w:t>
            </w:r>
          </w:p>
        </w:tc>
      </w:tr>
    </w:tbl>
    <w:p w14:paraId="4FB125B9" w14:textId="77777777" w:rsidR="00D81E32" w:rsidRDefault="00000000">
      <w:pPr>
        <w:pStyle w:val="Heading1"/>
      </w:pPr>
      <w:bookmarkStart w:id="11" w:name="results"/>
      <w:bookmarkEnd w:id="2"/>
      <w:bookmarkEnd w:id="3"/>
      <w:bookmarkEnd w:id="6"/>
      <w:r>
        <w:rPr>
          <w:rStyle w:val="SectionNumber"/>
        </w:rPr>
        <w:t>4</w:t>
      </w:r>
      <w:r>
        <w:tab/>
        <w:t>Results</w:t>
      </w:r>
    </w:p>
    <w:p w14:paraId="5A011AF9" w14:textId="77777777" w:rsidR="00D81E32" w:rsidRDefault="00000000">
      <w:pPr>
        <w:pStyle w:val="FirstParagraph"/>
      </w:pPr>
      <w:r>
        <w:t>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14:paraId="7774AA74" w14:textId="77777777" w:rsidR="00D81E32" w:rsidRDefault="00000000">
      <w:pPr>
        <w:pStyle w:val="BodyText"/>
      </w:pPr>
      <w:r>
        <w:t>Data from three participants were excluded from analysis due to chance level performance on the comprehension questions (cut-off determined using a binomial test against 50% accuracy, p&lt;.05). The remaining data were cleaned through the steps in Table 4.1</w:t>
      </w:r>
      <w:r>
        <w:rPr>
          <w:rStyle w:val="FootnoteReference"/>
        </w:rPr>
        <w:footnoteReference w:id="5"/>
      </w:r>
      <w:r>
        <w:t>.</w:t>
      </w:r>
    </w:p>
    <w:p w14:paraId="51BC28D6" w14:textId="77777777" w:rsidR="00D81E32" w:rsidRDefault="00000000">
      <w:pPr>
        <w:pStyle w:val="TableCaption"/>
      </w:pPr>
      <w:bookmarkStart w:id="12" w:name="tab:table5"/>
      <w:bookmarkEnd w:id="12"/>
      <w:r>
        <w:t>Table 4.1: Data cleaning steps</w:t>
      </w:r>
    </w:p>
    <w:tbl>
      <w:tblPr>
        <w:tblStyle w:val="Table"/>
        <w:tblW w:w="0" w:type="auto"/>
        <w:jc w:val="center"/>
        <w:tblLayout w:type="fixed"/>
        <w:tblLook w:val="0420" w:firstRow="1" w:lastRow="0" w:firstColumn="0" w:lastColumn="0" w:noHBand="0" w:noVBand="1"/>
      </w:tblPr>
      <w:tblGrid>
        <w:gridCol w:w="917"/>
        <w:gridCol w:w="3277"/>
        <w:gridCol w:w="2958"/>
        <w:gridCol w:w="3301"/>
      </w:tblGrid>
      <w:tr w:rsidR="00D81E32" w14:paraId="3DA2C03B" w14:textId="77777777" w:rsidTr="00D81E32">
        <w:trPr>
          <w:cnfStyle w:val="100000000000" w:firstRow="1" w:lastRow="0" w:firstColumn="0" w:lastColumn="0" w:oddVBand="0" w:evenVBand="0" w:oddHBand="0" w:evenHBand="0" w:firstRowFirstColumn="0" w:firstRowLastColumn="0" w:lastRowFirstColumn="0" w:lastRowLastColumn="0"/>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3A778DF5"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Step</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178DBF48"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Criterion for exclusion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33EFE76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Number of trials excluded</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158C2CE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Percentage of trials excluded</w:t>
            </w:r>
          </w:p>
        </w:tc>
      </w:tr>
      <w:tr w:rsidR="00D81E32" w14:paraId="497263C6" w14:textId="77777777" w:rsidTr="00D81E32">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B56104"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57982A"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Disturbance or participant </w:t>
            </w:r>
            <w:r>
              <w:rPr>
                <w:rFonts w:ascii="Arial" w:eastAsia="Arial" w:hAnsi="Arial" w:cs="Arial"/>
                <w:color w:val="000000"/>
                <w:sz w:val="22"/>
                <w:szCs w:val="22"/>
              </w:rPr>
              <w:br/>
              <w:t xml:space="preserve">reported pressing space </w:t>
            </w:r>
            <w:r>
              <w:rPr>
                <w:rFonts w:ascii="Arial" w:eastAsia="Arial" w:hAnsi="Arial" w:cs="Arial"/>
                <w:color w:val="000000"/>
                <w:sz w:val="22"/>
                <w:szCs w:val="22"/>
              </w:rPr>
              <w:br/>
              <w:t>too early</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75688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80</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3925F8"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1.03%</w:t>
            </w:r>
          </w:p>
        </w:tc>
      </w:tr>
      <w:tr w:rsidR="00D81E32" w14:paraId="5029E0B1" w14:textId="77777777" w:rsidTr="00D81E32">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6A841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lastRenderedPageBreak/>
              <w:t>2</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B169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Less than one fixation on </w:t>
            </w:r>
            <w:r>
              <w:rPr>
                <w:rFonts w:ascii="Arial" w:eastAsia="Arial" w:hAnsi="Arial" w:cs="Arial"/>
                <w:color w:val="000000"/>
                <w:sz w:val="22"/>
                <w:szCs w:val="22"/>
              </w:rPr>
              <w:br/>
              <w:t>one of the sentences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D7DD5"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514752"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0.30%</w:t>
            </w:r>
          </w:p>
        </w:tc>
      </w:tr>
      <w:tr w:rsidR="00D81E32" w14:paraId="45D3E97F" w14:textId="77777777" w:rsidTr="00D81E32">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9DC036"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3D69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more than 3 SDs </w:t>
            </w:r>
            <w:r>
              <w:rPr>
                <w:rFonts w:ascii="Arial" w:eastAsia="Arial" w:hAnsi="Arial" w:cs="Arial"/>
                <w:color w:val="000000"/>
                <w:sz w:val="22"/>
                <w:szCs w:val="22"/>
              </w:rPr>
              <w:br/>
              <w:t>from the participant’s mean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AD671A"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76</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594C6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0.98%</w:t>
            </w:r>
          </w:p>
        </w:tc>
      </w:tr>
      <w:tr w:rsidR="00D81E32" w14:paraId="20C4EF5C" w14:textId="77777777" w:rsidTr="00D81E32">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1992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4</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4E771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Fixations misaligned with </w:t>
            </w:r>
            <w:r>
              <w:rPr>
                <w:rFonts w:ascii="Arial" w:eastAsia="Arial" w:hAnsi="Arial" w:cs="Arial"/>
                <w:color w:val="000000"/>
                <w:sz w:val="22"/>
                <w:szCs w:val="22"/>
              </w:rPr>
              <w:br/>
              <w:t>text lines*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3A9CA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241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992FA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3.10%</w:t>
            </w:r>
          </w:p>
        </w:tc>
      </w:tr>
      <w:tr w:rsidR="00D81E32" w14:paraId="2CE27132" w14:textId="77777777" w:rsidTr="00D81E32">
        <w:trPr>
          <w:jc w:val="center"/>
        </w:trPr>
        <w:tc>
          <w:tcPr>
            <w:tcW w:w="91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E1F54E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5</w:t>
            </w:r>
          </w:p>
        </w:tc>
        <w:tc>
          <w:tcPr>
            <w:tcW w:w="327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309939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on the target word </w:t>
            </w:r>
            <w:r>
              <w:rPr>
                <w:rFonts w:ascii="Arial" w:eastAsia="Arial" w:hAnsi="Arial" w:cs="Arial"/>
                <w:color w:val="000000"/>
                <w:sz w:val="22"/>
                <w:szCs w:val="22"/>
              </w:rPr>
              <w:br/>
              <w:t xml:space="preserve">more than 3 SDs from the </w:t>
            </w:r>
            <w:r>
              <w:rPr>
                <w:rFonts w:ascii="Arial" w:eastAsia="Arial" w:hAnsi="Arial" w:cs="Arial"/>
                <w:color w:val="000000"/>
                <w:sz w:val="22"/>
                <w:szCs w:val="22"/>
              </w:rPr>
              <w:br/>
              <w:t>participant's mean**</w:t>
            </w:r>
          </w:p>
        </w:tc>
        <w:tc>
          <w:tcPr>
            <w:tcW w:w="295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16ECD2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123</w:t>
            </w:r>
          </w:p>
        </w:tc>
        <w:tc>
          <w:tcPr>
            <w:tcW w:w="33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2C078A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1.58%</w:t>
            </w:r>
          </w:p>
        </w:tc>
      </w:tr>
      <w:tr w:rsidR="00D81E32" w14:paraId="2EB9170F" w14:textId="77777777" w:rsidTr="00D81E32">
        <w:trPr>
          <w:jc w:val="center"/>
        </w:trPr>
        <w:tc>
          <w:tcPr>
            <w:tcW w:w="10453" w:type="dxa"/>
            <w:gridSpan w:val="4"/>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1D57A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Data cleaning steps. *Shifts on the top line were accepted because data from sentence 1 are not included in the analyses. **This removed cases where participants likely had trouble understanding the target word.</w:t>
            </w:r>
          </w:p>
        </w:tc>
      </w:tr>
    </w:tbl>
    <w:p w14:paraId="0DB66F6C" w14:textId="77777777" w:rsidR="00D81E32" w:rsidRDefault="00000000">
      <w:pPr>
        <w:pStyle w:val="BodyText"/>
      </w:pPr>
      <w:r>
        <w:t>Overall, 6.97% of all trials were excluded in this data filtering process, leaving 7,225 trials for the final analysis</w:t>
      </w:r>
      <w:r>
        <w:rPr>
          <w:rStyle w:val="FootnoteReference"/>
        </w:rPr>
        <w:footnoteReference w:id="6"/>
      </w:r>
      <w:r>
        <w:t>.</w:t>
      </w:r>
    </w:p>
    <w:p w14:paraId="2ADD34F6" w14:textId="77777777" w:rsidR="00D81E32" w:rsidRDefault="00000000">
      <w:pPr>
        <w:pStyle w:val="BodyText"/>
      </w:pPr>
      <w:r>
        <w:t>Statistical analyses were conducted using linear mixed-effects models implemented in the lme4 package (Bates et al., 2015) in R, version 4.4.2 (R Core Team, 2021).</w:t>
      </w:r>
    </w:p>
    <w:p w14:paraId="03459A16" w14:textId="77777777" w:rsidR="00D81E32" w:rsidRDefault="00000000">
      <w:pPr>
        <w:pStyle w:val="Heading2"/>
      </w:pPr>
      <w:bookmarkStart w:id="13" w:name="lexical-and-grammatical-suffixes"/>
      <w:r>
        <w:rPr>
          <w:rStyle w:val="SectionNumber"/>
        </w:rPr>
        <w:t>4.1</w:t>
      </w:r>
      <w:r>
        <w:tab/>
        <w:t>Lexical and grammatical suffixes</w:t>
      </w:r>
    </w:p>
    <w:p w14:paraId="2034F3DE" w14:textId="77777777" w:rsidR="00D81E32" w:rsidRDefault="00000000">
      <w:pPr>
        <w:pStyle w:val="FirstParagraph"/>
      </w:pPr>
      <w:r>
        <w:t>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 (following Staub, 2024):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14:paraId="2A7C5622" w14:textId="77777777" w:rsidR="00D81E32" w:rsidRDefault="00000000">
      <w:pPr>
        <w:pStyle w:val="BodyText"/>
      </w:pPr>
      <w:r>
        <w:t>Following previous work, fixation durations were log-transformed prior to analysis (Hyönä et al., 2024; Staub, 2024), as they are typically skewed with many short and few long fixations. To reduce skew, we also used log10-transformed measures of frequency (skewness = 1.45) and predictability (skewness = 3.4).</w:t>
      </w:r>
    </w:p>
    <w:p w14:paraId="7F010F98" w14:textId="77777777" w:rsidR="00D81E32" w:rsidRDefault="00000000">
      <w:pPr>
        <w:pStyle w:val="Heading3"/>
      </w:pPr>
      <w:bookmarkStart w:id="14" w:name="skipping"/>
      <w:r>
        <w:rPr>
          <w:rStyle w:val="SectionNumber"/>
        </w:rPr>
        <w:lastRenderedPageBreak/>
        <w:t>4.1.1</w:t>
      </w:r>
      <w:r>
        <w:tab/>
        <w:t>Skipping</w:t>
      </w:r>
    </w:p>
    <w:p w14:paraId="66C031BA" w14:textId="77777777" w:rsidR="00D81E32" w:rsidRDefault="00000000">
      <w:pPr>
        <w:pStyle w:val="FirstParagraph"/>
      </w:pPr>
      <w:r>
        <w:t>Suffix skipping probabilities were analyzed using a generalized linear mixed-effects model with structural status (lexical/grammatical), frequency, length, and predictability as fixed effects and with random intercepts for participants (Table 4.2)</w:t>
      </w:r>
      <w:r>
        <w:rPr>
          <w:rStyle w:val="FootnoteReference"/>
        </w:rPr>
        <w:footnoteReference w:id="7"/>
      </w:r>
      <w:r>
        <w:t>.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14:paraId="7640A1FB" w14:textId="77777777" w:rsidR="00D81E32" w:rsidRDefault="00000000">
      <w:pPr>
        <w:pStyle w:val="TableCaption"/>
      </w:pPr>
      <w:bookmarkStart w:id="15" w:name="tab:table6"/>
      <w:bookmarkEnd w:id="15"/>
      <w:r>
        <w:t>Table 4.2: Regression results for the suffix skipping model</w:t>
      </w:r>
    </w:p>
    <w:tbl>
      <w:tblPr>
        <w:tblStyle w:val="Table"/>
        <w:tblW w:w="0" w:type="auto"/>
        <w:jc w:val="center"/>
        <w:tblLayout w:type="fixed"/>
        <w:tblLook w:val="0420" w:firstRow="1" w:lastRow="0" w:firstColumn="0" w:lastColumn="0" w:noHBand="0" w:noVBand="1"/>
      </w:tblPr>
      <w:tblGrid>
        <w:gridCol w:w="2261"/>
        <w:gridCol w:w="965"/>
        <w:gridCol w:w="892"/>
        <w:gridCol w:w="1088"/>
        <w:gridCol w:w="1143"/>
      </w:tblGrid>
      <w:tr w:rsidR="00D81E32" w14:paraId="20F86B8B" w14:textId="77777777" w:rsidTr="00D81E32">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8930C3A"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C48D23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0B5EE04"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E78B4F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7C44E3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D81E32" w14:paraId="35B4ADD2" w14:textId="77777777" w:rsidTr="00D81E32">
        <w:trPr>
          <w:jc w:val="center"/>
        </w:trPr>
        <w:tc>
          <w:tcPr>
            <w:tcW w:w="22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4280B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203A5"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6285EA"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B84BF4"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6C9B4"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D81E32" w14:paraId="183E8ECA"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7D2A4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CCC416"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B3A0F"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F48E3"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DBF479"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D81E32" w14:paraId="5D5C001B"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F8A424"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DBAD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B69C8F"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0DF7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AA611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&gt;0.9</w:t>
            </w:r>
          </w:p>
        </w:tc>
      </w:tr>
      <w:tr w:rsidR="00D81E32" w14:paraId="3CBB8989"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7CE79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CDB69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0.15</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3A3A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0A898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2.53</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4BA31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.012</w:t>
            </w:r>
          </w:p>
        </w:tc>
      </w:tr>
      <w:tr w:rsidR="00D81E32" w14:paraId="33CEBED3"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9815C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873D7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-0.61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4CF7F5"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D16A7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-13.79</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EF1A4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D81E32" w14:paraId="6F447A9A" w14:textId="77777777" w:rsidTr="00D81E32">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D7B79A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4F5A1DA"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E4F00E8"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0.02</w:t>
            </w:r>
          </w:p>
        </w:tc>
        <w:tc>
          <w:tcPr>
            <w:tcW w:w="108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7E2C6E2"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1.39</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1F496A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D81E32" w14:paraId="426BD805" w14:textId="77777777" w:rsidTr="00D81E32">
        <w:trPr>
          <w:jc w:val="center"/>
        </w:trPr>
        <w:tc>
          <w:tcPr>
            <w:tcW w:w="6349"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206267"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suffix skipping model. Suffix frequency and predictability are log10 transformed. Significant effects (p&lt;.05) are highlighted in bold.</w:t>
            </w:r>
          </w:p>
        </w:tc>
      </w:tr>
    </w:tbl>
    <w:p w14:paraId="3E4B000C" w14:textId="77777777" w:rsidR="00D81E32" w:rsidRDefault="00000000">
      <w:pPr>
        <w:pStyle w:val="Heading3"/>
      </w:pPr>
      <w:bookmarkStart w:id="16" w:name="first-fixation-duration"/>
      <w:bookmarkEnd w:id="14"/>
      <w:r>
        <w:rPr>
          <w:rStyle w:val="SectionNumber"/>
        </w:rPr>
        <w:t>4.1.2</w:t>
      </w:r>
      <w:r>
        <w:tab/>
        <w:t>First fixation duration</w:t>
      </w:r>
    </w:p>
    <w:p w14:paraId="5E4DAA18" w14:textId="77777777" w:rsidR="00D81E32" w:rsidRDefault="00000000">
      <w:pPr>
        <w:pStyle w:val="FirstParagraph"/>
      </w:pPr>
      <w:r>
        <w:t>Trials in which the target suffix was skipped were excluded from the FFD and GD analyses (in line with practice in other studies – e.g., Staub, 2024).</w:t>
      </w:r>
    </w:p>
    <w:p w14:paraId="64833D79" w14:textId="77777777" w:rsidR="00D81E32" w:rsidRDefault="00000000">
      <w:pPr>
        <w:pStyle w:val="BodyText"/>
      </w:pPr>
      <w:r>
        <w:t>FFD for the target suffixes was analyzed using a linear mixed-effects model with structural status, frequency, length, and predictability as fixed effects, and with random intercepts for participants (Table 4.3).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14:paraId="19DA343C" w14:textId="77777777" w:rsidR="00D81E32" w:rsidRDefault="00000000">
      <w:pPr>
        <w:pStyle w:val="TableCaption"/>
      </w:pPr>
      <w:bookmarkStart w:id="17" w:name="tab:table7"/>
      <w:bookmarkEnd w:id="17"/>
      <w:r>
        <w:lastRenderedPageBreak/>
        <w:t>Table 4.3: Regression results for the FFD model</w:t>
      </w:r>
    </w:p>
    <w:tbl>
      <w:tblPr>
        <w:tblStyle w:val="Table"/>
        <w:tblW w:w="0" w:type="auto"/>
        <w:jc w:val="center"/>
        <w:tblLayout w:type="fixed"/>
        <w:tblLook w:val="0420" w:firstRow="1" w:lastRow="0" w:firstColumn="0" w:lastColumn="0" w:noHBand="0" w:noVBand="1"/>
      </w:tblPr>
      <w:tblGrid>
        <w:gridCol w:w="2261"/>
        <w:gridCol w:w="965"/>
        <w:gridCol w:w="892"/>
        <w:gridCol w:w="965"/>
        <w:gridCol w:w="1143"/>
      </w:tblGrid>
      <w:tr w:rsidR="00D81E32" w14:paraId="28B4FFFD" w14:textId="77777777" w:rsidTr="00D81E32">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63129D2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C234285"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4FBBDD5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7527BB4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047AC98"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D81E32" w14:paraId="4E76D2C8" w14:textId="77777777" w:rsidTr="00D81E32">
        <w:trPr>
          <w:jc w:val="center"/>
        </w:trPr>
        <w:tc>
          <w:tcPr>
            <w:tcW w:w="22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D4C4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F4F313"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1DF638"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7BA5C6"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937831"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D81E32" w14:paraId="73598C1A"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11A7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E1694D"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91848B"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968C9C"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9CF46A" w14:textId="77777777" w:rsidR="00D81E32" w:rsidRDefault="00D81E32">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D81E32" w14:paraId="1E73154A"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60BC8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E57D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CE58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2DCFF1"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3.32</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8F4C69"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D81E32" w14:paraId="61903A29"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0473C0"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D96B9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0217D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A4B1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-6.05</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0322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D81E32" w14:paraId="4EFB2704"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1421B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F509D"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461BE"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66D2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-3.01</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D6FED6"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D81E32" w14:paraId="1CE58410" w14:textId="77777777" w:rsidTr="00D81E32">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414A50A"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70C2947"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8986EEC"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AE41D6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-1.31</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C484E03"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D81E32" w14:paraId="4BAAC4CA" w14:textId="77777777" w:rsidTr="00D81E32">
        <w:trPr>
          <w:jc w:val="center"/>
        </w:trPr>
        <w:tc>
          <w:tcPr>
            <w:tcW w:w="6226"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080B6B" w14:textId="77777777" w:rsidR="00D81E32"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first fixation duration model. Suffix frequency and predictability are log10 transformed. Significant effects (p&lt;.05) are highlighted in bold.</w:t>
            </w:r>
          </w:p>
        </w:tc>
      </w:tr>
    </w:tbl>
    <w:p w14:paraId="714C46B5" w14:textId="77777777" w:rsidR="00D81E32" w:rsidRDefault="00000000">
      <w:pPr>
        <w:pStyle w:val="Heading3"/>
      </w:pPr>
      <w:bookmarkStart w:id="18" w:name="gaze-duration"/>
      <w:bookmarkEnd w:id="16"/>
      <w:r>
        <w:rPr>
          <w:rStyle w:val="SectionNumber"/>
        </w:rPr>
        <w:t>4.1.3</w:t>
      </w:r>
      <w:r>
        <w:tab/>
        <w:t>Gaze duration</w:t>
      </w:r>
    </w:p>
    <w:p w14:paraId="164178FB" w14:textId="77777777" w:rsidR="00D81E32" w:rsidRDefault="00000000">
      <w:pPr>
        <w:pStyle w:val="FirstParagraph"/>
      </w:pPr>
      <w:r>
        <w:t>The analysis of GD was likewise done using a linear mixed-effects model with structural status, frequency, length, and predictability as fixed effects and with random intercepts for participants (Table 4.4).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14:paraId="68CAE5F6" w14:textId="77777777" w:rsidR="00D81E32" w:rsidRDefault="00000000">
      <w:pPr>
        <w:pStyle w:val="TableCaption"/>
      </w:pPr>
      <w:bookmarkStart w:id="19" w:name="tab:table8"/>
      <w:bookmarkEnd w:id="19"/>
      <w:r>
        <w:t>Table 4.4: Regression results for the GD model</w:t>
      </w:r>
    </w:p>
    <w:tbl>
      <w:tblPr>
        <w:tblStyle w:val="Table"/>
        <w:tblW w:w="0" w:type="auto"/>
        <w:jc w:val="center"/>
        <w:tblLayout w:type="fixed"/>
        <w:tblLook w:val="0420" w:firstRow="1" w:lastRow="0" w:firstColumn="0" w:lastColumn="0" w:noHBand="0" w:noVBand="1"/>
      </w:tblPr>
      <w:tblGrid>
        <w:gridCol w:w="2261"/>
        <w:gridCol w:w="965"/>
        <w:gridCol w:w="892"/>
        <w:gridCol w:w="1015"/>
        <w:gridCol w:w="1143"/>
      </w:tblGrid>
      <w:tr w:rsidR="0070447D" w14:paraId="018F0B31" w14:textId="77777777" w:rsidTr="0070447D">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4" w:space="0" w:color="auto"/>
              <w:bottom w:val="single" w:sz="6" w:space="0" w:color="000000"/>
            </w:tcBorders>
            <w:shd w:val="clear" w:color="auto" w:fill="FFFFFF"/>
            <w:tcMar>
              <w:top w:w="0" w:type="dxa"/>
              <w:left w:w="0" w:type="dxa"/>
              <w:bottom w:w="0" w:type="dxa"/>
              <w:right w:w="0" w:type="dxa"/>
            </w:tcMar>
            <w:vAlign w:val="top"/>
          </w:tcPr>
          <w:p w14:paraId="4AE4F1B9"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4" w:space="0" w:color="auto"/>
              <w:bottom w:val="single" w:sz="6" w:space="0" w:color="000000"/>
            </w:tcBorders>
            <w:shd w:val="clear" w:color="auto" w:fill="FFFFFF"/>
            <w:tcMar>
              <w:top w:w="0" w:type="dxa"/>
              <w:left w:w="0" w:type="dxa"/>
              <w:bottom w:w="0" w:type="dxa"/>
              <w:right w:w="0" w:type="dxa"/>
            </w:tcMar>
            <w:vAlign w:val="top"/>
          </w:tcPr>
          <w:p w14:paraId="4C1A1A80"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4" w:space="0" w:color="auto"/>
              <w:bottom w:val="single" w:sz="6" w:space="0" w:color="000000"/>
            </w:tcBorders>
            <w:shd w:val="clear" w:color="auto" w:fill="FFFFFF"/>
            <w:tcMar>
              <w:top w:w="0" w:type="dxa"/>
              <w:left w:w="0" w:type="dxa"/>
              <w:bottom w:w="0" w:type="dxa"/>
              <w:right w:w="0" w:type="dxa"/>
            </w:tcMar>
            <w:vAlign w:val="top"/>
          </w:tcPr>
          <w:p w14:paraId="2077879B"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15" w:type="dxa"/>
            <w:tcBorders>
              <w:top w:val="single" w:sz="4" w:space="0" w:color="auto"/>
              <w:bottom w:val="single" w:sz="6" w:space="0" w:color="000000"/>
            </w:tcBorders>
            <w:shd w:val="clear" w:color="auto" w:fill="FFFFFF"/>
            <w:tcMar>
              <w:top w:w="0" w:type="dxa"/>
              <w:left w:w="0" w:type="dxa"/>
              <w:bottom w:w="0" w:type="dxa"/>
              <w:right w:w="0" w:type="dxa"/>
            </w:tcMar>
            <w:vAlign w:val="top"/>
          </w:tcPr>
          <w:p w14:paraId="2499F663"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4" w:space="0" w:color="auto"/>
              <w:bottom w:val="single" w:sz="6" w:space="0" w:color="000000"/>
            </w:tcBorders>
            <w:shd w:val="clear" w:color="auto" w:fill="FFFFFF"/>
            <w:tcMar>
              <w:top w:w="0" w:type="dxa"/>
              <w:left w:w="0" w:type="dxa"/>
              <w:bottom w:w="0" w:type="dxa"/>
              <w:right w:w="0" w:type="dxa"/>
            </w:tcMar>
            <w:vAlign w:val="top"/>
          </w:tcPr>
          <w:p w14:paraId="418E0CD4"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70447D" w14:paraId="0CF07239" w14:textId="77777777" w:rsidTr="0070447D">
        <w:trPr>
          <w:jc w:val="center"/>
        </w:trPr>
        <w:tc>
          <w:tcPr>
            <w:tcW w:w="6276" w:type="dxa"/>
            <w:gridSpan w:val="5"/>
            <w:tcBorders>
              <w:top w:val="single" w:sz="6" w:space="0" w:color="000000"/>
              <w:left w:val="none" w:sz="0" w:space="0" w:color="000000"/>
              <w:right w:val="none" w:sz="0" w:space="0" w:color="000000"/>
            </w:tcBorders>
            <w:shd w:val="clear" w:color="auto" w:fill="FFFFFF"/>
            <w:tcMar>
              <w:top w:w="0" w:type="dxa"/>
              <w:left w:w="0" w:type="dxa"/>
              <w:bottom w:w="0" w:type="dxa"/>
              <w:right w:w="0" w:type="dxa"/>
            </w:tcMar>
          </w:tcPr>
          <w:p w14:paraId="67AD1909"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r>
      <w:tr w:rsidR="0070447D" w14:paraId="379B55A2" w14:textId="77777777" w:rsidTr="0070447D">
        <w:trPr>
          <w:jc w:val="center"/>
        </w:trPr>
        <w:tc>
          <w:tcPr>
            <w:tcW w:w="2261" w:type="dxa"/>
            <w:shd w:val="clear" w:color="auto" w:fill="FFFFFF"/>
            <w:tcMar>
              <w:top w:w="0" w:type="dxa"/>
              <w:left w:w="0" w:type="dxa"/>
              <w:bottom w:w="0" w:type="dxa"/>
              <w:right w:w="0" w:type="dxa"/>
            </w:tcMar>
          </w:tcPr>
          <w:p w14:paraId="7F5A9F56"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shd w:val="clear" w:color="auto" w:fill="FFFFFF"/>
            <w:tcMar>
              <w:top w:w="0" w:type="dxa"/>
              <w:left w:w="0" w:type="dxa"/>
              <w:bottom w:w="0" w:type="dxa"/>
              <w:right w:w="0" w:type="dxa"/>
            </w:tcMar>
          </w:tcPr>
          <w:p w14:paraId="529FB401"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shd w:val="clear" w:color="auto" w:fill="FFFFFF"/>
            <w:tcMar>
              <w:top w:w="0" w:type="dxa"/>
              <w:left w:w="0" w:type="dxa"/>
              <w:bottom w:w="0" w:type="dxa"/>
              <w:right w:w="0" w:type="dxa"/>
            </w:tcMar>
          </w:tcPr>
          <w:p w14:paraId="53C97DAD"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15" w:type="dxa"/>
            <w:shd w:val="clear" w:color="auto" w:fill="FFFFFF"/>
            <w:tcMar>
              <w:top w:w="0" w:type="dxa"/>
              <w:left w:w="0" w:type="dxa"/>
              <w:bottom w:w="0" w:type="dxa"/>
              <w:right w:w="0" w:type="dxa"/>
            </w:tcMar>
          </w:tcPr>
          <w:p w14:paraId="73E74497"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shd w:val="clear" w:color="auto" w:fill="FFFFFF"/>
            <w:tcMar>
              <w:top w:w="0" w:type="dxa"/>
              <w:left w:w="0" w:type="dxa"/>
              <w:bottom w:w="0" w:type="dxa"/>
              <w:right w:w="0" w:type="dxa"/>
            </w:tcMar>
          </w:tcPr>
          <w:p w14:paraId="0A3F4088"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70447D" w14:paraId="4F3253BB" w14:textId="77777777" w:rsidTr="0070447D">
        <w:trPr>
          <w:jc w:val="center"/>
        </w:trPr>
        <w:tc>
          <w:tcPr>
            <w:tcW w:w="2261"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30F27B"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D32F3A"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C7960A"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D3F2E6"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2.93</w:t>
            </w:r>
          </w:p>
        </w:tc>
        <w:tc>
          <w:tcPr>
            <w:tcW w:w="1143"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1A1F5F"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70447D" w14:paraId="65049673"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C30D11"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D920BD"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-0.08</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9CB27"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835E7F"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-9.47</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D2B58"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70447D" w14:paraId="2F1ECE9F"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0C9E8D"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2B9331"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A7DF8"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7F4B4B"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25.88</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83890"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70447D" w14:paraId="213FE383" w14:textId="77777777" w:rsidTr="00D81E32">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9693A"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76AA24"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9F946"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8CD63B"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-1.87</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03938A" w14:textId="77777777" w:rsidR="0070447D" w:rsidRDefault="0070447D">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r>
      <w:tr w:rsidR="0070447D" w14:paraId="160B0F9F" w14:textId="77777777" w:rsidTr="008F337D">
        <w:trPr>
          <w:jc w:val="center"/>
        </w:trPr>
        <w:tc>
          <w:tcPr>
            <w:tcW w:w="6276" w:type="dxa"/>
            <w:gridSpan w:val="5"/>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BE7E96" w14:textId="6963AF03" w:rsidR="0070447D" w:rsidRDefault="0070447D" w:rsidP="0070447D">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gaze duration model. Suffix frequency and predictability are log10 transformed. Significant effects (p&lt;.05) are highlighted in bold.</w:t>
            </w:r>
          </w:p>
        </w:tc>
      </w:tr>
    </w:tbl>
    <w:p w14:paraId="19BE7F71" w14:textId="77777777" w:rsidR="00D81E32" w:rsidRDefault="00000000">
      <w:pPr>
        <w:pStyle w:val="Heading2"/>
      </w:pPr>
      <w:bookmarkStart w:id="20" w:name="X661a59ba9619b408bfdf0f33b0efdadfcfeaa0d"/>
      <w:bookmarkEnd w:id="13"/>
      <w:bookmarkEnd w:id="18"/>
      <w:r>
        <w:rPr>
          <w:rStyle w:val="SectionNumber"/>
        </w:rPr>
        <w:lastRenderedPageBreak/>
        <w:t>4.2</w:t>
      </w:r>
      <w:r>
        <w:tab/>
        <w:t>General characteristics of Kalaallisut reading</w:t>
      </w:r>
    </w:p>
    <w:p w14:paraId="3C2BDF87" w14:textId="77777777" w:rsidR="00D81E32" w:rsidRDefault="00000000">
      <w:pPr>
        <w:pStyle w:val="FirstParagraph"/>
      </w:pPr>
      <w:r>
        <w:t>As noted at the outset, the second of the study’s two aims was exploratory: to examine general fixation patterns and gain an overall picture of how multi-morphemic words are processed in Kalaallisut reading. Below, we summarize the main exploratory findings.</w:t>
      </w:r>
    </w:p>
    <w:p w14:paraId="7A2B10D6" w14:textId="77777777" w:rsidR="00D81E32" w:rsidRDefault="00000000">
      <w:pPr>
        <w:pStyle w:val="BodyText"/>
      </w:pPr>
      <w:r>
        <w:t>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 4.1 shows, this relationship follows a U-shaped curve: fixation density decreases as word length increases up to a certain point, then increases again for longer words</w:t>
      </w:r>
      <w:r>
        <w:rPr>
          <w:rStyle w:val="FootnoteReference"/>
        </w:rPr>
        <w:footnoteReference w:id="8"/>
      </w:r>
      <w:r>
        <w:t>. A quadratic fit places the turning point at approximately nine letters (see Supplementary Materials).</w:t>
      </w:r>
    </w:p>
    <w:p w14:paraId="6131D6EE" w14:textId="77777777" w:rsidR="00D81E32" w:rsidRDefault="00000000">
      <w:pPr>
        <w:pStyle w:val="CaptionedFigure"/>
      </w:pPr>
      <w:r>
        <w:rPr>
          <w:noProof/>
        </w:rPr>
        <w:drawing>
          <wp:inline distT="0" distB="0" distL="0" distR="0" wp14:anchorId="5D111A62" wp14:editId="742DFCDD">
            <wp:extent cx="3669832" cy="2752374"/>
            <wp:effectExtent l="0" t="0" r="0" b="0"/>
            <wp:docPr id="51" name="Picture" descr="Figure 4.1: Fixation density as a function of word length"/>
            <wp:cNvGraphicFramePr/>
            <a:graphic xmlns:a="http://schemas.openxmlformats.org/drawingml/2006/main">
              <a:graphicData uri="http://schemas.openxmlformats.org/drawingml/2006/picture">
                <pic:pic xmlns:pic="http://schemas.openxmlformats.org/drawingml/2006/picture">
                  <pic:nvPicPr>
                    <pic:cNvPr id="52" name="Picture" descr="paper_main_files/figure-docx/figure1-1.png"/>
                    <pic:cNvPicPr>
                      <a:picLocks noChangeAspect="1" noChangeArrowheads="1"/>
                    </pic:cNvPicPr>
                  </pic:nvPicPr>
                  <pic:blipFill>
                    <a:blip r:embed="rId10"/>
                    <a:stretch>
                      <a:fillRect/>
                    </a:stretch>
                  </pic:blipFill>
                  <pic:spPr bwMode="auto">
                    <a:xfrm>
                      <a:off x="0" y="0"/>
                      <a:ext cx="3669832" cy="2752374"/>
                    </a:xfrm>
                    <a:prstGeom prst="rect">
                      <a:avLst/>
                    </a:prstGeom>
                    <a:noFill/>
                    <a:ln w="9525">
                      <a:noFill/>
                      <a:headEnd/>
                      <a:tailEnd/>
                    </a:ln>
                  </pic:spPr>
                </pic:pic>
              </a:graphicData>
            </a:graphic>
          </wp:inline>
        </w:drawing>
      </w:r>
    </w:p>
    <w:p w14:paraId="500F4599" w14:textId="77777777" w:rsidR="00D81E32" w:rsidRDefault="00000000">
      <w:pPr>
        <w:pStyle w:val="ImageCaption"/>
      </w:pPr>
      <w:bookmarkStart w:id="21" w:name="fig:figure1"/>
      <w:bookmarkEnd w:id="21"/>
      <w:r>
        <w:t>Figure 4.1: Fixation density as a function of word length</w:t>
      </w:r>
    </w:p>
    <w:p w14:paraId="74EDCFF4" w14:textId="77777777" w:rsidR="00D81E32" w:rsidRDefault="00000000">
      <w:pPr>
        <w:pStyle w:val="BodyText"/>
      </w:pPr>
      <w:r>
        <w:t>This pattern indicates that very long words demand considerably more attentional resources than shorter ones. But how is this attention distributed within a long word? To address this question, we focused on the 4-morpheme target words. Figure 4.2 shows the mean fixation duration per letter for three bins within each of the four morphemes in the target word</w:t>
      </w:r>
      <w:r>
        <w:rPr>
          <w:rStyle w:val="FootnoteReference"/>
        </w:rPr>
        <w:footnoteReference w:id="9"/>
      </w:r>
      <w:r>
        <w:t xml:space="preserve">. We divided each morpheme into three bins because the shortest morphemes were three letters long (a few of the inflections were only two letters, but these were excluded from this plot). The data reveal a clear pattern: Readers’ attention peaks near the </w:t>
      </w:r>
      <w:r>
        <w:lastRenderedPageBreak/>
        <w:t>middle of the root morpheme, after which it gradually decreases across the word, with inflections receiving minimal attention – in fact, on average 51% of inflections were skipped in the first pass.</w:t>
      </w:r>
    </w:p>
    <w:p w14:paraId="624FA785" w14:textId="77777777" w:rsidR="00D81E32" w:rsidRDefault="00000000">
      <w:pPr>
        <w:pStyle w:val="CaptionedFigure"/>
      </w:pPr>
      <w:r>
        <w:rPr>
          <w:noProof/>
        </w:rPr>
        <w:drawing>
          <wp:inline distT="0" distB="0" distL="0" distR="0" wp14:anchorId="234A8D44" wp14:editId="7E1A4197">
            <wp:extent cx="3669832" cy="1834916"/>
            <wp:effectExtent l="0" t="0" r="0" b="0"/>
            <wp:docPr id="56" name="Picture" descr="Figure 4.2: Mean fixation duration per letter across target word"/>
            <wp:cNvGraphicFramePr/>
            <a:graphic xmlns:a="http://schemas.openxmlformats.org/drawingml/2006/main">
              <a:graphicData uri="http://schemas.openxmlformats.org/drawingml/2006/picture">
                <pic:pic xmlns:pic="http://schemas.openxmlformats.org/drawingml/2006/picture">
                  <pic:nvPicPr>
                    <pic:cNvPr id="57" name="Picture" descr="paper_main_files/figure-docx/figure2-1.png"/>
                    <pic:cNvPicPr>
                      <a:picLocks noChangeAspect="1" noChangeArrowheads="1"/>
                    </pic:cNvPicPr>
                  </pic:nvPicPr>
                  <pic:blipFill>
                    <a:blip r:embed="rId11"/>
                    <a:stretch>
                      <a:fillRect/>
                    </a:stretch>
                  </pic:blipFill>
                  <pic:spPr bwMode="auto">
                    <a:xfrm>
                      <a:off x="0" y="0"/>
                      <a:ext cx="3669832" cy="1834916"/>
                    </a:xfrm>
                    <a:prstGeom prst="rect">
                      <a:avLst/>
                    </a:prstGeom>
                    <a:noFill/>
                    <a:ln w="9525">
                      <a:noFill/>
                      <a:headEnd/>
                      <a:tailEnd/>
                    </a:ln>
                  </pic:spPr>
                </pic:pic>
              </a:graphicData>
            </a:graphic>
          </wp:inline>
        </w:drawing>
      </w:r>
    </w:p>
    <w:p w14:paraId="24DA781A" w14:textId="77777777" w:rsidR="00D81E32" w:rsidRDefault="00000000">
      <w:pPr>
        <w:pStyle w:val="ImageCaption"/>
      </w:pPr>
      <w:bookmarkStart w:id="22" w:name="fig:figure2"/>
      <w:bookmarkEnd w:id="22"/>
      <w:r>
        <w:t>Figure 4.2: Mean fixation duration per letter across target word</w:t>
      </w:r>
    </w:p>
    <w:p w14:paraId="6C3E4EAA" w14:textId="77777777" w:rsidR="00D81E32" w:rsidRDefault="00000000">
      <w:pPr>
        <w:pStyle w:val="BodyText"/>
      </w:pPr>
      <w:r>
        <w:t>Interestingly, a similar-looking pattern (though on a smaller scale) emerges for the morphologically simple baseline words (Figure 4.3)</w:t>
      </w:r>
      <w:r>
        <w:rPr>
          <w:rStyle w:val="FootnoteReference"/>
        </w:rPr>
        <w:footnoteReference w:id="10"/>
      </w:r>
      <w:r>
        <w:t>. However, the peak fixation duration per letter is higher for the multi-morphemic target words (139 ms) than for the baseline words (92 ms).</w:t>
      </w:r>
    </w:p>
    <w:p w14:paraId="2D5CCC11" w14:textId="77777777" w:rsidR="00D81E32" w:rsidRDefault="00000000">
      <w:pPr>
        <w:pStyle w:val="CaptionedFigure"/>
      </w:pPr>
      <w:r>
        <w:rPr>
          <w:noProof/>
        </w:rPr>
        <w:drawing>
          <wp:inline distT="0" distB="0" distL="0" distR="0" wp14:anchorId="50534088" wp14:editId="24DF72DB">
            <wp:extent cx="3669832" cy="1834916"/>
            <wp:effectExtent l="0" t="0" r="0" b="0"/>
            <wp:docPr id="61" name="Picture" descr="Figure 4.3: Mean fixation duration per letter across baseline word"/>
            <wp:cNvGraphicFramePr/>
            <a:graphic xmlns:a="http://schemas.openxmlformats.org/drawingml/2006/main">
              <a:graphicData uri="http://schemas.openxmlformats.org/drawingml/2006/picture">
                <pic:pic xmlns:pic="http://schemas.openxmlformats.org/drawingml/2006/picture">
                  <pic:nvPicPr>
                    <pic:cNvPr id="62" name="Picture" descr="paper_main_files/figure-docx/figure3-1.png"/>
                    <pic:cNvPicPr>
                      <a:picLocks noChangeAspect="1" noChangeArrowheads="1"/>
                    </pic:cNvPicPr>
                  </pic:nvPicPr>
                  <pic:blipFill>
                    <a:blip r:embed="rId12"/>
                    <a:stretch>
                      <a:fillRect/>
                    </a:stretch>
                  </pic:blipFill>
                  <pic:spPr bwMode="auto">
                    <a:xfrm>
                      <a:off x="0" y="0"/>
                      <a:ext cx="3669832" cy="1834916"/>
                    </a:xfrm>
                    <a:prstGeom prst="rect">
                      <a:avLst/>
                    </a:prstGeom>
                    <a:noFill/>
                    <a:ln w="9525">
                      <a:noFill/>
                      <a:headEnd/>
                      <a:tailEnd/>
                    </a:ln>
                  </pic:spPr>
                </pic:pic>
              </a:graphicData>
            </a:graphic>
          </wp:inline>
        </w:drawing>
      </w:r>
    </w:p>
    <w:p w14:paraId="5C0D68D6" w14:textId="77777777" w:rsidR="00D81E32" w:rsidRDefault="00000000">
      <w:pPr>
        <w:pStyle w:val="ImageCaption"/>
      </w:pPr>
      <w:bookmarkStart w:id="23" w:name="fig:figure3"/>
      <w:bookmarkEnd w:id="23"/>
      <w:r>
        <w:t>Figure 4.3: Mean fixation duration per letter across baseline word</w:t>
      </w:r>
    </w:p>
    <w:p w14:paraId="097BD095" w14:textId="77777777" w:rsidR="00D81E32" w:rsidRDefault="00000000">
      <w:pPr>
        <w:pStyle w:val="CaptionedFigure"/>
      </w:pPr>
      <w:r>
        <w:rPr>
          <w:noProof/>
        </w:rPr>
        <w:lastRenderedPageBreak/>
        <w:drawing>
          <wp:inline distT="0" distB="0" distL="0" distR="0" wp14:anchorId="2B46000B" wp14:editId="377C8096">
            <wp:extent cx="3669832" cy="1834916"/>
            <wp:effectExtent l="0" t="0" r="0" b="0"/>
            <wp:docPr id="65" name="Picture" descr="Figure 4.4: Skipping rates for target suffixes and baseline words, by length"/>
            <wp:cNvGraphicFramePr/>
            <a:graphic xmlns:a="http://schemas.openxmlformats.org/drawingml/2006/main">
              <a:graphicData uri="http://schemas.openxmlformats.org/drawingml/2006/picture">
                <pic:pic xmlns:pic="http://schemas.openxmlformats.org/drawingml/2006/picture">
                  <pic:nvPicPr>
                    <pic:cNvPr id="66" name="Picture" descr="paper_main_files/figure-docx/figure4-1.png"/>
                    <pic:cNvPicPr>
                      <a:picLocks noChangeAspect="1" noChangeArrowheads="1"/>
                    </pic:cNvPicPr>
                  </pic:nvPicPr>
                  <pic:blipFill>
                    <a:blip r:embed="rId13"/>
                    <a:stretch>
                      <a:fillRect/>
                    </a:stretch>
                  </pic:blipFill>
                  <pic:spPr bwMode="auto">
                    <a:xfrm>
                      <a:off x="0" y="0"/>
                      <a:ext cx="3669832" cy="1834916"/>
                    </a:xfrm>
                    <a:prstGeom prst="rect">
                      <a:avLst/>
                    </a:prstGeom>
                    <a:noFill/>
                    <a:ln w="9525">
                      <a:noFill/>
                      <a:headEnd/>
                      <a:tailEnd/>
                    </a:ln>
                  </pic:spPr>
                </pic:pic>
              </a:graphicData>
            </a:graphic>
          </wp:inline>
        </w:drawing>
      </w:r>
    </w:p>
    <w:p w14:paraId="6DFD9AC0" w14:textId="77777777" w:rsidR="00D81E32" w:rsidRDefault="00000000">
      <w:pPr>
        <w:pStyle w:val="ImageCaption"/>
      </w:pPr>
      <w:bookmarkStart w:id="24" w:name="fig:figure4"/>
      <w:bookmarkEnd w:id="24"/>
      <w:r>
        <w:t>Figure 4.4: Skipping rates for target suffixes and baseline words, by length</w:t>
      </w:r>
    </w:p>
    <w:p w14:paraId="3526A18D" w14:textId="77777777" w:rsidR="00D81E32" w:rsidRDefault="00000000">
      <w:pPr>
        <w:pStyle w:val="BodyText"/>
      </w:pPr>
      <w:r>
        <w:t>To further explore how morphological structure influences reading behavior, we compared the likelihood of skipping target suffixes with that of skipping baseline words. The results showed that the baseline words were skipped more frequently than the target suffixes (Figure 4.4). A generalized linear mixed-effects model with skipping (0/1) as dependent variable and type (target suffix/baseline word) and length as independent variables and with random intercepts for participants confirmed that this difference was statistically significant (</w:t>
      </w:r>
      <m:oMath>
        <m:r>
          <w:rPr>
            <w:rFonts w:ascii="Cambria Math" w:hAnsi="Cambria Math"/>
          </w:rPr>
          <m:t>β</m:t>
        </m:r>
      </m:oMath>
      <w:r>
        <w:t xml:space="preserve"> = 0.45; SE = 0.06; z = 7.09; </w:t>
      </w:r>
      <w:r>
        <w:rPr>
          <w:i/>
          <w:iCs/>
        </w:rPr>
        <w:t>p</w:t>
      </w:r>
      <w:r>
        <w:t xml:space="preserve"> &lt; 0.001).</w:t>
      </w:r>
    </w:p>
    <w:p w14:paraId="261063FC" w14:textId="77777777" w:rsidR="00D81E32" w:rsidRDefault="00000000">
      <w:pPr>
        <w:pStyle w:val="CaptionedFigure"/>
      </w:pPr>
      <w:r>
        <w:rPr>
          <w:noProof/>
        </w:rPr>
        <w:drawing>
          <wp:inline distT="0" distB="0" distL="0" distR="0" wp14:anchorId="3E5DC51F" wp14:editId="2E600CCE">
            <wp:extent cx="3669832" cy="1834916"/>
            <wp:effectExtent l="0" t="0" r="0" b="0"/>
            <wp:docPr id="69" name="Picture" descr="Figure 4.5: Regression rates for roots, target suffixes and baseline words"/>
            <wp:cNvGraphicFramePr/>
            <a:graphic xmlns:a="http://schemas.openxmlformats.org/drawingml/2006/main">
              <a:graphicData uri="http://schemas.openxmlformats.org/drawingml/2006/picture">
                <pic:pic xmlns:pic="http://schemas.openxmlformats.org/drawingml/2006/picture">
                  <pic:nvPicPr>
                    <pic:cNvPr id="70" name="Picture" descr="paper_main_files/figure-docx/figure5-1.png"/>
                    <pic:cNvPicPr>
                      <a:picLocks noChangeAspect="1" noChangeArrowheads="1"/>
                    </pic:cNvPicPr>
                  </pic:nvPicPr>
                  <pic:blipFill>
                    <a:blip r:embed="rId14"/>
                    <a:stretch>
                      <a:fillRect/>
                    </a:stretch>
                  </pic:blipFill>
                  <pic:spPr bwMode="auto">
                    <a:xfrm>
                      <a:off x="0" y="0"/>
                      <a:ext cx="3669832" cy="1834916"/>
                    </a:xfrm>
                    <a:prstGeom prst="rect">
                      <a:avLst/>
                    </a:prstGeom>
                    <a:noFill/>
                    <a:ln w="9525">
                      <a:noFill/>
                      <a:headEnd/>
                      <a:tailEnd/>
                    </a:ln>
                  </pic:spPr>
                </pic:pic>
              </a:graphicData>
            </a:graphic>
          </wp:inline>
        </w:drawing>
      </w:r>
    </w:p>
    <w:p w14:paraId="5DD87224" w14:textId="77777777" w:rsidR="00D81E32" w:rsidRDefault="00000000">
      <w:pPr>
        <w:pStyle w:val="ImageCaption"/>
      </w:pPr>
      <w:bookmarkStart w:id="25" w:name="fig:figure5"/>
      <w:bookmarkEnd w:id="25"/>
      <w:r>
        <w:t>Figure 4.5: Regression rates for roots, target suffixes and baseline words</w:t>
      </w:r>
    </w:p>
    <w:p w14:paraId="539FC6BD" w14:textId="77777777" w:rsidR="00D81E32" w:rsidRDefault="00000000">
      <w:pPr>
        <w:pStyle w:val="BodyText"/>
      </w:pPr>
      <w:r>
        <w:t>Finally, we looked at regression rates for the root morphemes and target suffixes compared to the baseline words (Figure 4.5).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11"/>
      </w:r>
      <w:r>
        <w:t>) as independent variables and random intercepts for participants confirmed that both these differences were statistically significant: There were more regressions to roots than to target suffixes (</w:t>
      </w:r>
      <m:oMath>
        <m:r>
          <w:rPr>
            <w:rFonts w:ascii="Cambria Math" w:hAnsi="Cambria Math"/>
          </w:rPr>
          <m:t>β</m:t>
        </m:r>
      </m:oMath>
      <w:r>
        <w:t xml:space="preserve"> = 0.57; SE = 0.04; z = 13.8; </w:t>
      </w:r>
      <w:r>
        <w:rPr>
          <w:i/>
          <w:iCs/>
        </w:rPr>
        <w:t>p</w:t>
      </w:r>
      <w:r>
        <w:t xml:space="preserve"> &lt; 0.001) and fewer regressions to baseline words than to target suffixes (</w:t>
      </w:r>
      <m:oMath>
        <m:r>
          <w:rPr>
            <w:rFonts w:ascii="Cambria Math" w:hAnsi="Cambria Math"/>
          </w:rPr>
          <m:t>β</m:t>
        </m:r>
      </m:oMath>
      <w:r>
        <w:t xml:space="preserve"> </w:t>
      </w:r>
      <w:r>
        <w:lastRenderedPageBreak/>
        <w:t xml:space="preserve">= -0.62; SE = 0.05; z = -12.91; </w:t>
      </w:r>
      <w:r>
        <w:rPr>
          <w:i/>
          <w:iCs/>
        </w:rPr>
        <w:t>p</w:t>
      </w:r>
      <w:r>
        <w:t xml:space="preserve"> &lt; 0.001). This finding that within-word regressions are common in multi-morphemic words (almost 30% of roots were regressed to) contributes to explaining the patterns in Figures 4.1 and 4.2, as regressions to a region lead to a higher fixation density on that region.</w:t>
      </w:r>
    </w:p>
    <w:p w14:paraId="33981D93" w14:textId="77777777" w:rsidR="00D81E32" w:rsidRDefault="00000000">
      <w:pPr>
        <w:pStyle w:val="BodyText"/>
      </w:pPr>
      <w:r>
        <w:t>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p w14:paraId="6DB34CDE" w14:textId="77777777" w:rsidR="00D81E32" w:rsidRDefault="00000000">
      <w:pPr>
        <w:pStyle w:val="Heading1"/>
      </w:pPr>
      <w:bookmarkStart w:id="26" w:name="discussion"/>
      <w:bookmarkEnd w:id="11"/>
      <w:bookmarkEnd w:id="20"/>
      <w:r>
        <w:rPr>
          <w:rStyle w:val="SectionNumber"/>
        </w:rPr>
        <w:t>5</w:t>
      </w:r>
      <w:r>
        <w:tab/>
        <w:t>Discussion</w:t>
      </w:r>
    </w:p>
    <w:p w14:paraId="1298D0E5" w14:textId="77777777" w:rsidR="00D81E32" w:rsidRDefault="00000000">
      <w:pPr>
        <w:pStyle w:val="FirstParagraph"/>
      </w:pPr>
      <w:r>
        <w:t>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14:paraId="0B929891" w14:textId="77777777" w:rsidR="00D81E32" w:rsidRDefault="00000000">
      <w:pPr>
        <w:pStyle w:val="BodyText"/>
      </w:pPr>
      <w:r>
        <w:t>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14:paraId="11F3AF12" w14:textId="77777777" w:rsidR="00D81E32" w:rsidRDefault="00000000">
      <w:pPr>
        <w:pStyle w:val="BodyText"/>
      </w:pPr>
      <w:r>
        <w:t>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 (Kuperman et al., 2024; see e.g. Rayner et al., 2011), they suggest that individual morphemes serve as processing units in Kalaallisut reading, much like words do in more analytic languages.</w:t>
      </w:r>
    </w:p>
    <w:p w14:paraId="4C900873" w14:textId="77777777" w:rsidR="00D81E32" w:rsidRDefault="00000000">
      <w:pPr>
        <w:pStyle w:val="BodyText"/>
      </w:pPr>
      <w:r>
        <w:t>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14:paraId="4CA1057C" w14:textId="77777777" w:rsidR="00D81E32" w:rsidRDefault="00000000">
      <w:pPr>
        <w:pStyle w:val="BodyText"/>
      </w:pPr>
      <w:r>
        <w:lastRenderedPageBreak/>
        <w:t>In the following sections, we discuss each of the findings in turn, considering their potential implications for our understanding of reading, language processing and morphological complexity.</w:t>
      </w:r>
    </w:p>
    <w:p w14:paraId="585C3A7D" w14:textId="77777777" w:rsidR="00D81E32" w:rsidRDefault="00000000">
      <w:pPr>
        <w:pStyle w:val="Heading2"/>
      </w:pPr>
      <w:bookmarkStart w:id="27" w:name="lexical-vs.-grammatical-suffixes"/>
      <w:r>
        <w:rPr>
          <w:rStyle w:val="SectionNumber"/>
        </w:rPr>
        <w:t>5.1</w:t>
      </w:r>
      <w:r>
        <w:tab/>
        <w:t>Lexical vs. grammatical suffixes</w:t>
      </w:r>
    </w:p>
    <w:p w14:paraId="653CC272" w14:textId="77777777" w:rsidR="00D81E32" w:rsidRDefault="00000000">
      <w:pPr>
        <w:pStyle w:val="FirstParagraph"/>
      </w:pPr>
      <w:r>
        <w:t>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14:paraId="66FC84F9" w14:textId="77777777" w:rsidR="00D81E32" w:rsidRDefault="00000000">
      <w:pPr>
        <w:pStyle w:val="BodyText"/>
      </w:pPr>
      <w:r>
        <w:t>In contrast, no reliable effect of structural status was observed for skipping probability. We examined skipping alongside fixation duration measures because grammatical words have traditionally been associated with higher skipping rates than lexical words (e.g. Carpenter &amp; Just, 1983) – although it has recently been argued that this difference may largely reflect correlated factors such as frequency and length (Staub, 2024).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 5.5). Against this background, the absence of a structural-status effect on skipping does not undermine the fixation-time findings. Notably, a similar dissociation between fixation-duration measures and skipping probability was observed by Jaeger &amp; Boye (under review) in a reanalysis of data from Staub (2024).</w:t>
      </w:r>
    </w:p>
    <w:p w14:paraId="00864470" w14:textId="77777777" w:rsidR="00D81E32" w:rsidRDefault="00000000">
      <w:pPr>
        <w:pStyle w:val="BodyText"/>
      </w:pPr>
      <w:r>
        <w:t>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14:paraId="39FC3974" w14:textId="77777777" w:rsidR="00D81E32" w:rsidRDefault="00000000">
      <w:pPr>
        <w:pStyle w:val="BodyText"/>
      </w:pPr>
      <w:r>
        <w:t xml:space="preserve">These results have broad theoretical implications, as they challenge a widespread assumption in both functional and generative linguistics that affixes are inherently grammatical elements (e.g. Martinet, 1960: 4.19; Bybee et al., 1994; Segalowitz &amp; Lane, 2000). If some affixes in some languages are in fact lexical, this calls for a more differentiated approach to affixation, in which affixes are not automatically attributed </w:t>
      </w:r>
      <w:r>
        <w:lastRenderedPageBreak/>
        <w:t>grammatical status. Such a reconceptualization may in turn affect our understanding of the distinction between words and phrases, since this distinction is often grounded in assumptions about the types of elements words and phrases can contain. As discussed by M. Nielsen et al. (under review),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 (Boye, 2023, 2024; Boye &amp; Harder, 2012), as, to our knowledge, no other existing framework predicts these specific patterns.</w:t>
      </w:r>
    </w:p>
    <w:p w14:paraId="1C34FCE6" w14:textId="77777777" w:rsidR="00D81E32" w:rsidRDefault="00000000">
      <w:pPr>
        <w:pStyle w:val="Heading2"/>
      </w:pPr>
      <w:bookmarkStart w:id="28" w:name="morphemes-as-processing-units"/>
      <w:bookmarkEnd w:id="27"/>
      <w:r>
        <w:rPr>
          <w:rStyle w:val="SectionNumber"/>
        </w:rPr>
        <w:t>5.2</w:t>
      </w:r>
      <w:r>
        <w:tab/>
        <w:t>Morphemes as processing units</w:t>
      </w:r>
    </w:p>
    <w:p w14:paraId="37D6B5C2" w14:textId="77777777" w:rsidR="00D81E32" w:rsidRDefault="00000000">
      <w:pPr>
        <w:pStyle w:val="FirstParagraph"/>
      </w:pPr>
      <w:r>
        <w:t>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 5, these patterns closely mirror well-established word-level effects reported for other languages (Kuperman et al., 2024; Rayner et al., 2011). Although length showed a reverse effect for FFD – longer suffixes elicited shorter initial fixations – this pattern is not unprecedented and has been reported previously for Finnish compound words (Bertram &amp; Hyönä, 2003). No independent effects of suffix predictability were observed, likely due to its correlation with frequency or limitations of the corpus-based predictability measures.</w:t>
      </w:r>
    </w:p>
    <w:p w14:paraId="4307A1C7" w14:textId="77777777" w:rsidR="00D81E32" w:rsidRDefault="00000000">
      <w:pPr>
        <w:pStyle w:val="BodyText"/>
      </w:pPr>
      <w:r>
        <w:t>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14:paraId="16D62204" w14:textId="77777777" w:rsidR="00D81E32" w:rsidRDefault="00000000">
      <w:pPr>
        <w:pStyle w:val="BodyText"/>
      </w:pPr>
      <w:r>
        <w:t>These results have important implications for models of reading and for eye-tracking research. Most influential models of eye-movement control in reading (e.g. E-Z Reader (Reichle et al., 2003) and SWIFT (Engbert et al., 2005))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14:paraId="2FE3BB50" w14:textId="77777777" w:rsidR="00D81E32" w:rsidRDefault="00000000">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t>
      </w:r>
      <w:r>
        <w:lastRenderedPageBreak/>
        <w:t>well suited to morphologically rich languages like Kalaallisut and opens up new avenues for investigating morphological processing in real time.</w:t>
      </w:r>
    </w:p>
    <w:p w14:paraId="4E95A6F5" w14:textId="77777777" w:rsidR="00D81E32" w:rsidRDefault="00000000">
      <w:pPr>
        <w:pStyle w:val="Heading2"/>
      </w:pPr>
      <w:bookmarkStart w:id="29" w:name="word-length-and-fixation-density"/>
      <w:bookmarkEnd w:id="28"/>
      <w:r>
        <w:rPr>
          <w:rStyle w:val="SectionNumber"/>
        </w:rPr>
        <w:t>5.3</w:t>
      </w:r>
      <w:r>
        <w:tab/>
        <w:t>Word length and fixation density</w:t>
      </w:r>
    </w:p>
    <w:p w14:paraId="5E32D600" w14:textId="77777777" w:rsidR="00D81E32" w:rsidRDefault="00000000">
      <w:pPr>
        <w:pStyle w:val="FirstParagraph"/>
      </w:pPr>
      <w:r>
        <w:t>As illustrated in Figure 4.1,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14:paraId="5F48A566" w14:textId="77777777" w:rsidR="00D81E32" w:rsidRDefault="00000000">
      <w:pPr>
        <w:pStyle w:val="BodyText"/>
      </w:pPr>
      <w:r>
        <w:t>The turning point at around nine letters is noteworthy because it aligns closely with findings from other languages: Hyönä et al. (2024) 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14:paraId="00FE2D60" w14:textId="77777777" w:rsidR="00D81E32" w:rsidRDefault="00000000">
      <w:pPr>
        <w:pStyle w:val="BodyText"/>
      </w:pPr>
      <w:r>
        <w:t>Word length effects in eye-movement research are often modeled as linear (see e.g. Kuperman et al., 2024).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p w14:paraId="321F5DE5" w14:textId="77777777" w:rsidR="00D81E32" w:rsidRDefault="00000000">
      <w:pPr>
        <w:pStyle w:val="Heading2"/>
      </w:pPr>
      <w:bookmarkStart w:id="30" w:name="asymmetric-attention-distribution"/>
      <w:bookmarkEnd w:id="29"/>
      <w:r>
        <w:rPr>
          <w:rStyle w:val="SectionNumber"/>
        </w:rPr>
        <w:t>5.4</w:t>
      </w:r>
      <w:r>
        <w:tab/>
        <w:t>Asymmetric attention distribution</w:t>
      </w:r>
    </w:p>
    <w:p w14:paraId="7861DF80" w14:textId="77777777" w:rsidR="00D81E32" w:rsidRDefault="00000000">
      <w:pPr>
        <w:pStyle w:val="FirstParagraph"/>
      </w:pPr>
      <w:r>
        <w:t>The within-word attention distribution observed for the target words (Figure 4.2)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14:paraId="5DC81783" w14:textId="77777777" w:rsidR="00D81E32" w:rsidRDefault="00000000">
      <w:pPr>
        <w:pStyle w:val="BodyText"/>
      </w:pPr>
      <w:r>
        <w:lastRenderedPageBreak/>
        <w:t>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14:paraId="603AF54C" w14:textId="77777777" w:rsidR="00D81E32" w:rsidRDefault="00000000">
      <w:pPr>
        <w:pStyle w:val="BodyText"/>
      </w:pPr>
      <w:r>
        <w:t>The interpretation is further complicated by the fact that this lexical-grammatical organization reflects a general property of Kalaallisut word structure: Roots are typically lexical, inflections are always grammatical, and lexical suffixes tend to occupy slots close to the root (M. Nielsen et al., under review).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14:paraId="50E1565A" w14:textId="77777777" w:rsidR="00D81E32" w:rsidRDefault="00000000">
      <w:pPr>
        <w:pStyle w:val="BodyText"/>
      </w:pPr>
      <w:r>
        <w:t>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p w14:paraId="6FBA8A31" w14:textId="77777777" w:rsidR="00D81E32" w:rsidRDefault="00000000">
      <w:pPr>
        <w:pStyle w:val="Heading2"/>
      </w:pPr>
      <w:bookmarkStart w:id="31" w:name="X946ab59d40330995faa5774c5193493a66f9606"/>
      <w:bookmarkEnd w:id="30"/>
      <w:r>
        <w:rPr>
          <w:rStyle w:val="SectionNumber"/>
        </w:rPr>
        <w:t>5.5</w:t>
      </w:r>
      <w:r>
        <w:tab/>
        <w:t>Differences between reading of suffixes and words</w:t>
      </w:r>
    </w:p>
    <w:p w14:paraId="62546F49" w14:textId="77777777" w:rsidR="00D81E32" w:rsidRDefault="00000000">
      <w:pPr>
        <w:pStyle w:val="FirstParagraph"/>
      </w:pPr>
      <w:r>
        <w:t>Although individual suffixes in Kalaallisut may correspond to separate words in more analytic languages, and although our results indicate that suffixes function as processing units in Kalaallisut reading, the observed within-word attention profile (Figure 4.2)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 4.2 and 4.3)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14:paraId="5C3E3C87" w14:textId="77777777" w:rsidR="00D81E32" w:rsidRDefault="00000000">
      <w:pPr>
        <w:pStyle w:val="BodyText"/>
      </w:pPr>
      <w:r>
        <w:t xml:space="preserve">Further evidence for this comes from skipping behavior (Figure 4.4). Even though the baseline words were selected to match the target suffixes in morphological complexity and structural status, they were skipped more frequently than the suffixes. This is noteworthy </w:t>
      </w:r>
      <w:r>
        <w:lastRenderedPageBreak/>
        <w:t>because suffixes are, if anything, more predictable than words, given the limited inventory of suffixes in the language</w:t>
      </w:r>
      <w:r>
        <w:rPr>
          <w:rStyle w:val="FootnoteReference"/>
        </w:rPr>
        <w:footnoteReference w:id="12"/>
      </w:r>
      <w:r>
        <w:t>.</w:t>
      </w:r>
    </w:p>
    <w:p w14:paraId="5AA4EE4B" w14:textId="77777777" w:rsidR="00D81E32" w:rsidRDefault="00000000">
      <w:pPr>
        <w:pStyle w:val="BodyText"/>
      </w:pPr>
      <w:r>
        <w:t>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 (see e.g. Bertram &amp; Hyönä, 2013).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14:paraId="045698A1" w14:textId="77777777" w:rsidR="00D81E32" w:rsidRDefault="00000000">
      <w:pPr>
        <w:pStyle w:val="BodyText"/>
      </w:pPr>
      <w:r>
        <w:t>Together, these findings – along with the high fixation density observed for long words (Figure 4.1)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14:paraId="092A02C0" w14:textId="77777777" w:rsidR="00D81E32" w:rsidRDefault="00000000">
      <w:pPr>
        <w:pStyle w:val="BodyText"/>
      </w:pPr>
      <w:r>
        <w:t>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p w14:paraId="2BB84450" w14:textId="77777777" w:rsidR="00D81E32" w:rsidRDefault="00000000">
      <w:pPr>
        <w:pStyle w:val="Heading1"/>
      </w:pPr>
      <w:bookmarkStart w:id="32" w:name="conclusions"/>
      <w:bookmarkEnd w:id="26"/>
      <w:bookmarkEnd w:id="31"/>
      <w:r>
        <w:rPr>
          <w:rStyle w:val="SectionNumber"/>
        </w:rPr>
        <w:t>6</w:t>
      </w:r>
      <w:r>
        <w:tab/>
        <w:t>Conclusions</w:t>
      </w:r>
    </w:p>
    <w:p w14:paraId="57216C41" w14:textId="77777777" w:rsidR="00D81E32" w:rsidRDefault="00000000">
      <w:pPr>
        <w:pStyle w:val="FirstParagraph"/>
      </w:pPr>
      <w:r>
        <w:t>This study set out to explore how multi-morphemic words are processed in Kalaallisut reading. Three main conclusions emerge.</w:t>
      </w:r>
    </w:p>
    <w:p w14:paraId="3842E67C" w14:textId="77777777" w:rsidR="00D81E32" w:rsidRDefault="00000000">
      <w:pPr>
        <w:pStyle w:val="BodyText"/>
      </w:pPr>
      <w:r>
        <w:lastRenderedPageBreak/>
        <w:t>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14:paraId="7990F9F6" w14:textId="77777777" w:rsidR="00D81E32" w:rsidRDefault="00000000">
      <w:pPr>
        <w:pStyle w:val="BodyText"/>
      </w:pPr>
      <w:r>
        <w:t>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14:paraId="49D2472E" w14:textId="77777777" w:rsidR="00D81E32" w:rsidRDefault="00000000">
      <w:pPr>
        <w:pStyle w:val="BodyText"/>
      </w:pPr>
      <w:r>
        <w:t>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14:paraId="23019072" w14:textId="77777777" w:rsidR="00D81E32" w:rsidRDefault="00000000">
      <w:pPr>
        <w:pStyle w:val="BodyText"/>
      </w:pPr>
      <w:r>
        <w:t>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p w14:paraId="0E0F2C00" w14:textId="77777777" w:rsidR="00D81E32" w:rsidRDefault="00000000">
      <w:pPr>
        <w:pStyle w:val="Heading1"/>
      </w:pPr>
      <w:bookmarkStart w:id="33" w:name="references"/>
      <w:bookmarkEnd w:id="32"/>
      <w:r>
        <w:rPr>
          <w:rStyle w:val="SectionNumber"/>
        </w:rPr>
        <w:t>7</w:t>
      </w:r>
      <w:r>
        <w:tab/>
        <w:t>References</w:t>
      </w:r>
    </w:p>
    <w:p w14:paraId="7717B385" w14:textId="77777777" w:rsidR="00D81E32" w:rsidRDefault="00000000">
      <w:pPr>
        <w:pStyle w:val="Bibliography"/>
      </w:pPr>
      <w:bookmarkStart w:id="34" w:name="ref-batesFittingLinearMixedEffects2015"/>
      <w:bookmarkStart w:id="35" w:name="refs"/>
      <w:r>
        <w:t xml:space="preserve">Bates, D., Mächler, M., Bolker, B., &amp; Walker, S. (2015). Fitting Linear Mixed-Effects Models Using Lme4. </w:t>
      </w:r>
      <w:r>
        <w:rPr>
          <w:i/>
          <w:iCs/>
        </w:rPr>
        <w:t>Journal of Statistical Software</w:t>
      </w:r>
      <w:r>
        <w:t xml:space="preserve">, </w:t>
      </w:r>
      <w:r>
        <w:rPr>
          <w:i/>
          <w:iCs/>
        </w:rPr>
        <w:t>67</w:t>
      </w:r>
      <w:r>
        <w:t xml:space="preserve">, 1–48. </w:t>
      </w:r>
      <w:hyperlink r:id="rId15">
        <w:r>
          <w:rPr>
            <w:rStyle w:val="Hyperlink"/>
          </w:rPr>
          <w:t>https://doi.org/10.18637/jss.v067.i01</w:t>
        </w:r>
      </w:hyperlink>
    </w:p>
    <w:p w14:paraId="634EE602" w14:textId="77777777" w:rsidR="00D81E32" w:rsidRDefault="00000000">
      <w:pPr>
        <w:pStyle w:val="Bibliography"/>
      </w:pPr>
      <w:bookmarkStart w:id="36" w:name="ref-bertramLengthComplexWord2003"/>
      <w:bookmarkEnd w:id="34"/>
      <w:r>
        <w:t xml:space="preserve">Bertram, R., &amp; Hyönä, J. (2003). The length of a complex word modifies the role of morphological structure: Evidence from eye movements when reading short and long Finnish compounds. </w:t>
      </w:r>
      <w:r>
        <w:rPr>
          <w:i/>
          <w:iCs/>
        </w:rPr>
        <w:t>Journal of Memory and Language</w:t>
      </w:r>
      <w:r>
        <w:t xml:space="preserve">, </w:t>
      </w:r>
      <w:r>
        <w:rPr>
          <w:i/>
          <w:iCs/>
        </w:rPr>
        <w:t>48</w:t>
      </w:r>
      <w:r>
        <w:t xml:space="preserve">(3), 615–634. </w:t>
      </w:r>
      <w:hyperlink r:id="rId16">
        <w:r>
          <w:rPr>
            <w:rStyle w:val="Hyperlink"/>
          </w:rPr>
          <w:t>https://doi.org/10.1016/S0749-596X(02)00539-9</w:t>
        </w:r>
      </w:hyperlink>
    </w:p>
    <w:p w14:paraId="64DABBC2" w14:textId="77777777" w:rsidR="00D81E32" w:rsidRDefault="00000000">
      <w:pPr>
        <w:pStyle w:val="Bibliography"/>
      </w:pPr>
      <w:bookmarkStart w:id="37" w:name="ref-bertramRoleHyphensConstituent2013"/>
      <w:bookmarkEnd w:id="36"/>
      <w:r>
        <w:t xml:space="preserve">Bertram, R., &amp; Hyönä, J. (2013). The Role of Hyphens at the Constituent Boundary in Compound Word Identification. </w:t>
      </w:r>
      <w:r>
        <w:rPr>
          <w:i/>
          <w:iCs/>
        </w:rPr>
        <w:t>Experimental Psychology</w:t>
      </w:r>
      <w:r>
        <w:t xml:space="preserve">, </w:t>
      </w:r>
      <w:r>
        <w:rPr>
          <w:i/>
          <w:iCs/>
        </w:rPr>
        <w:t>60</w:t>
      </w:r>
      <w:r>
        <w:t xml:space="preserve">(3), 157–163. </w:t>
      </w:r>
      <w:hyperlink r:id="rId17">
        <w:r>
          <w:rPr>
            <w:rStyle w:val="Hyperlink"/>
          </w:rPr>
          <w:t>https://doi.org/10.1027/1618-3169/a000183</w:t>
        </w:r>
      </w:hyperlink>
    </w:p>
    <w:p w14:paraId="3661E3EF" w14:textId="77777777" w:rsidR="00D81E32" w:rsidRDefault="00000000">
      <w:pPr>
        <w:pStyle w:val="Bibliography"/>
      </w:pPr>
      <w:bookmarkStart w:id="38" w:name="ref-boyeLexicalVsGrammatical2023"/>
      <w:bookmarkEnd w:id="37"/>
      <w:r>
        <w:t xml:space="preserve">Boye, K. (2023). Lexical vs Grammatical Words. In E. van Lier (Ed.), </w:t>
      </w:r>
      <w:r>
        <w:rPr>
          <w:i/>
          <w:iCs/>
        </w:rPr>
        <w:t>The Oxford Handbook of Word Classes</w:t>
      </w:r>
      <w:r>
        <w:t xml:space="preserve"> (pp. 72–84). Oxford University Press. </w:t>
      </w:r>
      <w:hyperlink r:id="rId18">
        <w:r>
          <w:rPr>
            <w:rStyle w:val="Hyperlink"/>
          </w:rPr>
          <w:t>https://doi.org/10.1093/oxfordhb/9780198852889.013.4</w:t>
        </w:r>
      </w:hyperlink>
    </w:p>
    <w:p w14:paraId="64721539" w14:textId="77777777" w:rsidR="00D81E32" w:rsidRDefault="00000000">
      <w:pPr>
        <w:pStyle w:val="Bibliography"/>
      </w:pPr>
      <w:bookmarkStart w:id="39" w:name="X75fe85e942d2e44d6e7f448306ad8ed8b195d1c"/>
      <w:bookmarkEnd w:id="38"/>
      <w:r>
        <w:lastRenderedPageBreak/>
        <w:t xml:space="preserve">Boye, K. (2024). Evidentiality, discourse prominence and grammaticalization. </w:t>
      </w:r>
      <w:r>
        <w:rPr>
          <w:i/>
          <w:iCs/>
        </w:rPr>
        <w:t>Studies in Language. International Journal Sponsored by the Foundation “Foundations of Language”</w:t>
      </w:r>
      <w:r>
        <w:t xml:space="preserve">, </w:t>
      </w:r>
      <w:r>
        <w:rPr>
          <w:i/>
          <w:iCs/>
        </w:rPr>
        <w:t>48</w:t>
      </w:r>
      <w:r>
        <w:t xml:space="preserve">(3), 575–607. </w:t>
      </w:r>
      <w:hyperlink r:id="rId19">
        <w:r>
          <w:rPr>
            <w:rStyle w:val="Hyperlink"/>
          </w:rPr>
          <w:t>https://doi.org/10.1075/sl.23001.boy</w:t>
        </w:r>
      </w:hyperlink>
    </w:p>
    <w:p w14:paraId="07A51DE7" w14:textId="77777777" w:rsidR="00D81E32" w:rsidRDefault="00000000">
      <w:pPr>
        <w:pStyle w:val="Bibliography"/>
      </w:pPr>
      <w:bookmarkStart w:id="40" w:name="ref-boyeAgrammatismUsagebasedTheory2023"/>
      <w:bookmarkEnd w:id="39"/>
      <w:r>
        <w:t xml:space="preserve">Boye, K., Bastiaanse, R., Harder, P., &amp; Martínez-Ferreiro, S. (2023). Agrammatism in a usage-based theory of grammatical status: Impaired combinatorics, compensatory prioritization, or both? </w:t>
      </w:r>
      <w:r>
        <w:rPr>
          <w:i/>
          <w:iCs/>
        </w:rPr>
        <w:t>Journal of Neurolinguistics</w:t>
      </w:r>
      <w:r>
        <w:t xml:space="preserve">, </w:t>
      </w:r>
      <w:r>
        <w:rPr>
          <w:i/>
          <w:iCs/>
        </w:rPr>
        <w:t>65</w:t>
      </w:r>
      <w:r>
        <w:t xml:space="preserve">, 101108. </w:t>
      </w:r>
      <w:hyperlink r:id="rId20">
        <w:r>
          <w:rPr>
            <w:rStyle w:val="Hyperlink"/>
          </w:rPr>
          <w:t>https://doi.org/10.1016/j.jneuroling.2022.101108</w:t>
        </w:r>
      </w:hyperlink>
    </w:p>
    <w:p w14:paraId="6478D380" w14:textId="77777777" w:rsidR="00D81E32" w:rsidRDefault="00000000">
      <w:pPr>
        <w:pStyle w:val="Bibliography"/>
      </w:pPr>
      <w:bookmarkStart w:id="41" w:name="ref-boyeUsageBasedTheoryGrammatical2012"/>
      <w:bookmarkEnd w:id="40"/>
      <w:r>
        <w:t xml:space="preserve">Boye, K., &amp; Harder, P. (2012). A Usage-Based Theory of Grammatical Status and Grammaticalization. </w:t>
      </w:r>
      <w:r>
        <w:rPr>
          <w:i/>
          <w:iCs/>
        </w:rPr>
        <w:t>Language</w:t>
      </w:r>
      <w:r>
        <w:t xml:space="preserve">, </w:t>
      </w:r>
      <w:r>
        <w:rPr>
          <w:i/>
          <w:iCs/>
        </w:rPr>
        <w:t>88</w:t>
      </w:r>
      <w:r>
        <w:t>(1), 1–44. https://doi.org/</w:t>
      </w:r>
      <w:hyperlink>
        <w:r>
          <w:rPr>
            <w:rStyle w:val="Hyperlink"/>
          </w:rPr>
          <w:t>https://doi. org/10.1353/lan.2012.0020</w:t>
        </w:r>
      </w:hyperlink>
    </w:p>
    <w:p w14:paraId="0A56B244" w14:textId="77777777" w:rsidR="00D81E32" w:rsidRDefault="00000000">
      <w:pPr>
        <w:pStyle w:val="Bibliography"/>
      </w:pPr>
      <w:bookmarkStart w:id="42" w:name="ref-bybeeEvolutionGrammarTense1994"/>
      <w:bookmarkEnd w:id="41"/>
      <w:r>
        <w:t xml:space="preserve">Bybee, J. L., Perkins, R. D., &amp; Pagliuca, W. (1994). </w:t>
      </w:r>
      <w:r>
        <w:rPr>
          <w:i/>
          <w:iCs/>
        </w:rPr>
        <w:t>The evolution of grammar: Tense, aspect and modality in the languages of the world</w:t>
      </w:r>
      <w:r>
        <w:t>. University of Chicago Press.</w:t>
      </w:r>
    </w:p>
    <w:p w14:paraId="3B01893C" w14:textId="77777777" w:rsidR="00D81E32" w:rsidRDefault="00000000">
      <w:pPr>
        <w:pStyle w:val="Bibliography"/>
      </w:pPr>
      <w:bookmarkStart w:id="43" w:name="X7ae2403f63b50d2cbc56b36abe32abd2902c377"/>
      <w:bookmarkEnd w:id="42"/>
      <w:r>
        <w:t xml:space="preserve">Carlson, B. F. (1990). Compounding and lexical affixation in spokane. </w:t>
      </w:r>
      <w:r>
        <w:rPr>
          <w:i/>
          <w:iCs/>
        </w:rPr>
        <w:t>Anthropological Linguistics</w:t>
      </w:r>
      <w:r>
        <w:t xml:space="preserve">, </w:t>
      </w:r>
      <w:r>
        <w:rPr>
          <w:i/>
          <w:iCs/>
        </w:rPr>
        <w:t>32</w:t>
      </w:r>
      <w:r>
        <w:t>(1/2), 69–82.</w:t>
      </w:r>
    </w:p>
    <w:p w14:paraId="44FA94EB" w14:textId="77777777" w:rsidR="00D81E32" w:rsidRDefault="00000000">
      <w:pPr>
        <w:pStyle w:val="Bibliography"/>
      </w:pPr>
      <w:bookmarkStart w:id="44" w:name="ref-carpenterWhatYourEyes1983"/>
      <w:bookmarkEnd w:id="43"/>
      <w:r>
        <w:t xml:space="preserve">Carpenter, P. A., &amp; Just, M. A. (1983). What your eyes do while your mind is reading. In K. Rayner (Ed.), </w:t>
      </w:r>
      <w:r>
        <w:rPr>
          <w:i/>
          <w:iCs/>
        </w:rPr>
        <w:t>Eye movements in reading: Perceptual and language processes</w:t>
      </w:r>
      <w:r>
        <w:t xml:space="preserve"> (pp. 275–307). Academic Press.</w:t>
      </w:r>
    </w:p>
    <w:p w14:paraId="5C2FD835" w14:textId="77777777" w:rsidR="00D81E32" w:rsidRPr="0070447D" w:rsidRDefault="00000000">
      <w:pPr>
        <w:pStyle w:val="Bibliography"/>
        <w:rPr>
          <w:lang w:val="da-DK"/>
        </w:rPr>
      </w:pPr>
      <w:bookmarkStart w:id="45" w:name="ref-chomskyMinimalistProgram2014"/>
      <w:bookmarkEnd w:id="44"/>
      <w:r>
        <w:t xml:space="preserve">Chomsky, N. (2014). </w:t>
      </w:r>
      <w:r>
        <w:rPr>
          <w:i/>
          <w:iCs/>
        </w:rPr>
        <w:t>The minimalist program</w:t>
      </w:r>
      <w:r>
        <w:t xml:space="preserve"> (20th anniversary edition). </w:t>
      </w:r>
      <w:r w:rsidRPr="0070447D">
        <w:rPr>
          <w:lang w:val="da-DK"/>
        </w:rPr>
        <w:t>MIT Press.</w:t>
      </w:r>
    </w:p>
    <w:p w14:paraId="3286451E" w14:textId="77777777" w:rsidR="00D81E32" w:rsidRDefault="00000000">
      <w:pPr>
        <w:pStyle w:val="Bibliography"/>
      </w:pPr>
      <w:bookmarkStart w:id="46" w:name="Xbe63cc610368a0cf6776be8154020122a1125e4"/>
      <w:bookmarkEnd w:id="45"/>
      <w:r w:rsidRPr="0070447D">
        <w:rPr>
          <w:lang w:val="da-DK"/>
        </w:rPr>
        <w:t xml:space="preserve">Christensen, M. H., Kristensen, L. B., Vinther, N. M., &amp; Boye, K. (2021). </w:t>
      </w:r>
      <w:r>
        <w:t xml:space="preserve">Grammar is background in sentence processing. </w:t>
      </w:r>
      <w:r>
        <w:rPr>
          <w:i/>
          <w:iCs/>
        </w:rPr>
        <w:t>Language and Cognition</w:t>
      </w:r>
      <w:r>
        <w:t xml:space="preserve">, </w:t>
      </w:r>
      <w:r>
        <w:rPr>
          <w:i/>
          <w:iCs/>
        </w:rPr>
        <w:t>13</w:t>
      </w:r>
      <w:r>
        <w:t xml:space="preserve">(1), 128–153. </w:t>
      </w:r>
      <w:hyperlink r:id="rId21">
        <w:r>
          <w:rPr>
            <w:rStyle w:val="Hyperlink"/>
          </w:rPr>
          <w:t>https://doi.org/10.1017/langcog.2020.30</w:t>
        </w:r>
      </w:hyperlink>
    </w:p>
    <w:p w14:paraId="64165DE6" w14:textId="77777777" w:rsidR="00D81E32" w:rsidRDefault="00000000">
      <w:pPr>
        <w:pStyle w:val="Bibliography"/>
      </w:pPr>
      <w:bookmarkStart w:id="47" w:name="ref-ehrlich1981"/>
      <w:bookmarkEnd w:id="46"/>
      <w:r>
        <w:t xml:space="preserve">Ehrlich, S. F., &amp; Rayner, K. (1981). Contextual effects on word perception and eye movements during reading. </w:t>
      </w:r>
      <w:r>
        <w:rPr>
          <w:i/>
          <w:iCs/>
        </w:rPr>
        <w:t>Journal of Verbal Learning and Verbal Behavior</w:t>
      </w:r>
      <w:r>
        <w:t xml:space="preserve">, </w:t>
      </w:r>
      <w:r>
        <w:rPr>
          <w:i/>
          <w:iCs/>
        </w:rPr>
        <w:t>20</w:t>
      </w:r>
      <w:r>
        <w:t xml:space="preserve">(6), 641–655. </w:t>
      </w:r>
      <w:hyperlink r:id="rId22">
        <w:r>
          <w:rPr>
            <w:rStyle w:val="Hyperlink"/>
          </w:rPr>
          <w:t>https://doi.org/10.1016/S0022-5371(81)90220-6</w:t>
        </w:r>
      </w:hyperlink>
    </w:p>
    <w:p w14:paraId="491D1DC4" w14:textId="77777777" w:rsidR="00D81E32" w:rsidRDefault="00000000">
      <w:pPr>
        <w:pStyle w:val="Bibliography"/>
      </w:pPr>
      <w:bookmarkStart w:id="48" w:name="ref-ellisFrequencyEffectsLanguage2002"/>
      <w:bookmarkEnd w:id="47"/>
      <w:r>
        <w:t xml:space="preserve">Ellis, N. C. (2002). Frequency effects in language processing: A review with implications for theories of implicit and explicit language acquisition. </w:t>
      </w:r>
      <w:r>
        <w:rPr>
          <w:i/>
          <w:iCs/>
        </w:rPr>
        <w:t>Studies in Second Language Acquisition</w:t>
      </w:r>
      <w:r>
        <w:t xml:space="preserve">, </w:t>
      </w:r>
      <w:r>
        <w:rPr>
          <w:i/>
          <w:iCs/>
        </w:rPr>
        <w:t>24</w:t>
      </w:r>
      <w:r>
        <w:t xml:space="preserve">(2), 143–188. </w:t>
      </w:r>
      <w:hyperlink r:id="rId23">
        <w:r>
          <w:rPr>
            <w:rStyle w:val="Hyperlink"/>
          </w:rPr>
          <w:t>https://doi.org/10.1017/S0272263102002024</w:t>
        </w:r>
      </w:hyperlink>
    </w:p>
    <w:p w14:paraId="7D0BC08A" w14:textId="77777777" w:rsidR="00D81E32" w:rsidRDefault="00000000">
      <w:pPr>
        <w:pStyle w:val="Bibliography"/>
      </w:pPr>
      <w:bookmarkStart w:id="49" w:name="ref-engbertSWIFTDynamicalModel2005"/>
      <w:bookmarkEnd w:id="48"/>
      <w:r>
        <w:t xml:space="preserve">Engbert, R., Nuthmann, A., Richter, E. M., &amp; Kliegl, R. (2005). SWIFT: A Dynamical Model of Saccade Generation During Reading. </w:t>
      </w:r>
      <w:r>
        <w:rPr>
          <w:i/>
          <w:iCs/>
        </w:rPr>
        <w:t>Psychological Review</w:t>
      </w:r>
      <w:r>
        <w:t xml:space="preserve">, </w:t>
      </w:r>
      <w:r>
        <w:rPr>
          <w:i/>
          <w:iCs/>
        </w:rPr>
        <w:t>112</w:t>
      </w:r>
      <w:r>
        <w:t xml:space="preserve">(4), 777–813. </w:t>
      </w:r>
      <w:hyperlink r:id="rId24">
        <w:r>
          <w:rPr>
            <w:rStyle w:val="Hyperlink"/>
          </w:rPr>
          <w:t>https://doi.org/10.1037/0033-295X.112.4.777</w:t>
        </w:r>
      </w:hyperlink>
    </w:p>
    <w:p w14:paraId="46E67441" w14:textId="77777777" w:rsidR="00D81E32" w:rsidRDefault="00000000">
      <w:pPr>
        <w:pStyle w:val="Bibliography"/>
      </w:pPr>
      <w:bookmarkStart w:id="50" w:name="ref-fortescueAffixOrderingWest1980"/>
      <w:bookmarkEnd w:id="49"/>
      <w:r>
        <w:t xml:space="preserve">Fortescue, M. D. (1980). Affix Ordering in West Greenlandic Derivational Processes. </w:t>
      </w:r>
      <w:r>
        <w:rPr>
          <w:i/>
          <w:iCs/>
        </w:rPr>
        <w:t>International Journal of American Linguistics</w:t>
      </w:r>
      <w:r>
        <w:t xml:space="preserve">, </w:t>
      </w:r>
      <w:r>
        <w:rPr>
          <w:i/>
          <w:iCs/>
        </w:rPr>
        <w:t>46</w:t>
      </w:r>
      <w:r>
        <w:t xml:space="preserve">(4), 259–278. </w:t>
      </w:r>
      <w:hyperlink r:id="rId25">
        <w:r>
          <w:rPr>
            <w:rStyle w:val="Hyperlink"/>
          </w:rPr>
          <w:t>https://doi.org/10.1086/465662</w:t>
        </w:r>
      </w:hyperlink>
    </w:p>
    <w:p w14:paraId="1206C0DA" w14:textId="77777777" w:rsidR="00D81E32" w:rsidRDefault="00000000">
      <w:pPr>
        <w:pStyle w:val="Bibliography"/>
      </w:pPr>
      <w:bookmarkStart w:id="51" w:name="ref-fortescueWestGreenlandic1984"/>
      <w:bookmarkEnd w:id="50"/>
      <w:r>
        <w:t xml:space="preserve">Fortescue, M. D. (1984). </w:t>
      </w:r>
      <w:r>
        <w:rPr>
          <w:i/>
          <w:iCs/>
        </w:rPr>
        <w:t>West Greenlandic</w:t>
      </w:r>
      <w:r>
        <w:t>. Croom Helm.</w:t>
      </w:r>
    </w:p>
    <w:p w14:paraId="28211981" w14:textId="77777777" w:rsidR="00D81E32" w:rsidRDefault="00000000">
      <w:pPr>
        <w:pStyle w:val="Bibliography"/>
      </w:pPr>
      <w:bookmarkStart w:id="52" w:name="ref-gerdtsSalishLexicalSuffixes1996"/>
      <w:bookmarkEnd w:id="51"/>
      <w:r>
        <w:lastRenderedPageBreak/>
        <w:t xml:space="preserve">Gerdts, D. B., &amp; Hinkson, M. Q. (1996). Salish lexical suffixes: A case of decategorialization. In A. E. Goldberg (Ed.), </w:t>
      </w:r>
      <w:r>
        <w:rPr>
          <w:i/>
          <w:iCs/>
        </w:rPr>
        <w:t>Proceedings of the conference on conceptual structure, discourse, and language</w:t>
      </w:r>
      <w:r>
        <w:t xml:space="preserve"> (pp. 163–176). CSLI Publications.</w:t>
      </w:r>
    </w:p>
    <w:p w14:paraId="18DC2715" w14:textId="77777777" w:rsidR="00D81E32" w:rsidRDefault="00000000">
      <w:pPr>
        <w:pStyle w:val="Bibliography"/>
      </w:pPr>
      <w:bookmarkStart w:id="53" w:name="ref-hopperPrinciplesGrammaticization1991"/>
      <w:bookmarkEnd w:id="52"/>
      <w:r>
        <w:t xml:space="preserve">Hopper, P. J. (1991). On some principles of grammaticization. In B. Heine &amp; E. Traugott (Eds.), </w:t>
      </w:r>
      <w:r>
        <w:rPr>
          <w:i/>
          <w:iCs/>
        </w:rPr>
        <w:t>Approaches to Grammaticalization</w:t>
      </w:r>
      <w:r>
        <w:t xml:space="preserve"> (Vol. 1, pp. 17–35). John Benjamins Publishing Company.</w:t>
      </w:r>
    </w:p>
    <w:p w14:paraId="50D41377" w14:textId="77777777" w:rsidR="00D81E32" w:rsidRDefault="00000000">
      <w:pPr>
        <w:pStyle w:val="Bibliography"/>
      </w:pPr>
      <w:bookmarkStart w:id="54" w:name="ref-hyonaReadingCompoundWords2024"/>
      <w:bookmarkEnd w:id="53"/>
      <w:r>
        <w:t xml:space="preserve">Hyönä, J., Cui, L., Heikkilä, T. T., Paranko, B., Gao, Y., &amp; Su, X. (2024). Reading compound words in Finnish and Chinese: An eye-tracking study. </w:t>
      </w:r>
      <w:r>
        <w:rPr>
          <w:i/>
          <w:iCs/>
        </w:rPr>
        <w:t>Journal of Memory and Language</w:t>
      </w:r>
      <w:r>
        <w:t xml:space="preserve">, </w:t>
      </w:r>
      <w:r>
        <w:rPr>
          <w:i/>
          <w:iCs/>
        </w:rPr>
        <w:t>134</w:t>
      </w:r>
      <w:r>
        <w:t xml:space="preserve">, 104474. </w:t>
      </w:r>
      <w:hyperlink r:id="rId26">
        <w:r>
          <w:rPr>
            <w:rStyle w:val="Hyperlink"/>
          </w:rPr>
          <w:t>https://doi.org/10.1016/j.jml.2023.104474</w:t>
        </w:r>
      </w:hyperlink>
    </w:p>
    <w:p w14:paraId="72FB96F7" w14:textId="77777777" w:rsidR="00D81E32" w:rsidRDefault="00000000">
      <w:pPr>
        <w:pStyle w:val="Bibliography"/>
      </w:pPr>
      <w:bookmarkStart w:id="55" w:name="ref-ishkhanyanMeetingPointWhere2019"/>
      <w:bookmarkEnd w:id="54"/>
      <w:r>
        <w:t xml:space="preserve">Ishkhanyan, B., Boye, K., &amp; Mogensen, J. (2019). The Meeting Point: Where Language Production and Working Memory Share Resources. </w:t>
      </w:r>
      <w:r>
        <w:rPr>
          <w:i/>
          <w:iCs/>
        </w:rPr>
        <w:t>Journal of Psycholinguistic Research</w:t>
      </w:r>
      <w:r>
        <w:t xml:space="preserve">, </w:t>
      </w:r>
      <w:r>
        <w:rPr>
          <w:i/>
          <w:iCs/>
        </w:rPr>
        <w:t>48</w:t>
      </w:r>
      <w:r>
        <w:t xml:space="preserve">(1), 61–79. </w:t>
      </w:r>
      <w:hyperlink r:id="rId27">
        <w:r>
          <w:rPr>
            <w:rStyle w:val="Hyperlink"/>
          </w:rPr>
          <w:t>https://doi.org/10.1007/s10936-018-9589-0</w:t>
        </w:r>
      </w:hyperlink>
    </w:p>
    <w:p w14:paraId="38DB80A9" w14:textId="77777777" w:rsidR="00D81E32" w:rsidRDefault="00000000">
      <w:pPr>
        <w:pStyle w:val="Bibliography"/>
      </w:pPr>
      <w:bookmarkStart w:id="56" w:name="Xc0023b1dbbe966bdbbc2a41bc8e986376094ddd"/>
      <w:bookmarkEnd w:id="55"/>
      <w:r>
        <w:t xml:space="preserve">Ishkhanyan, B., Sahraoui, H., Harder, P., Mogensen, J., &amp; Boye, K. (2017). Grammatical and lexical pronoun dissociation in French speakers with agrammatic aphasia: A usage-based account and REF-based hypothesis. </w:t>
      </w:r>
      <w:r>
        <w:rPr>
          <w:i/>
          <w:iCs/>
        </w:rPr>
        <w:t>Journal of Neurolinguistics</w:t>
      </w:r>
      <w:r>
        <w:t xml:space="preserve">, </w:t>
      </w:r>
      <w:r>
        <w:rPr>
          <w:i/>
          <w:iCs/>
        </w:rPr>
        <w:t>44</w:t>
      </w:r>
      <w:r>
        <w:t xml:space="preserve">, 1–16. </w:t>
      </w:r>
      <w:hyperlink r:id="rId28">
        <w:r>
          <w:rPr>
            <w:rStyle w:val="Hyperlink"/>
          </w:rPr>
          <w:t>https://doi.org/10.1016/j.jneuroling.2017.02.001</w:t>
        </w:r>
      </w:hyperlink>
    </w:p>
    <w:p w14:paraId="57E3A1D8" w14:textId="77777777" w:rsidR="00D81E32" w:rsidRDefault="00000000">
      <w:pPr>
        <w:pStyle w:val="Bibliography"/>
      </w:pPr>
      <w:bookmarkStart w:id="57" w:name="X650317c6948688630465099fd8c4c75534d3aec"/>
      <w:bookmarkEnd w:id="56"/>
      <w:r>
        <w:t xml:space="preserve">Jaeger, S. W., &amp; Boye, K. (under review). </w:t>
      </w:r>
      <w:r>
        <w:rPr>
          <w:i/>
          <w:iCs/>
        </w:rPr>
        <w:t>Time for a change: Why psycholinguistics should move beyond the function–content word distinction</w:t>
      </w:r>
      <w:r>
        <w:t>.</w:t>
      </w:r>
    </w:p>
    <w:p w14:paraId="52C4BC20" w14:textId="77777777" w:rsidR="00D81E32" w:rsidRDefault="00000000">
      <w:pPr>
        <w:pStyle w:val="Bibliography"/>
      </w:pPr>
      <w:bookmarkStart w:id="58" w:name="ref-justTheoryReadingEye1980"/>
      <w:bookmarkEnd w:id="57"/>
      <w:r>
        <w:t xml:space="preserve">Just, M. A., &amp; Carpenter, P. A. (1980). A theory of reading: From eye fixations to comprehension. </w:t>
      </w:r>
      <w:r>
        <w:rPr>
          <w:i/>
          <w:iCs/>
        </w:rPr>
        <w:t>Psychological Review</w:t>
      </w:r>
      <w:r>
        <w:t xml:space="preserve">, </w:t>
      </w:r>
      <w:r>
        <w:rPr>
          <w:i/>
          <w:iCs/>
        </w:rPr>
        <w:t>87</w:t>
      </w:r>
      <w:r>
        <w:t xml:space="preserve">(4), 329–354. </w:t>
      </w:r>
      <w:hyperlink r:id="rId29">
        <w:r>
          <w:rPr>
            <w:rStyle w:val="Hyperlink"/>
          </w:rPr>
          <w:t>https://doi.org/10.1037/0033-295X.87.4.329</w:t>
        </w:r>
      </w:hyperlink>
    </w:p>
    <w:p w14:paraId="6071FD9A" w14:textId="77777777" w:rsidR="00D81E32" w:rsidRDefault="00000000">
      <w:pPr>
        <w:pStyle w:val="Bibliography"/>
      </w:pPr>
      <w:bookmarkStart w:id="59" w:name="ref-kahnWestGreenlandicEssential2021"/>
      <w:bookmarkEnd w:id="58"/>
      <w:r>
        <w:t xml:space="preserve">Kahn, L., &amp; Valijärvi, R.-L. (2021). </w:t>
      </w:r>
      <w:r>
        <w:rPr>
          <w:i/>
          <w:iCs/>
        </w:rPr>
        <w:t>West Greenlandic: An Essential Grammar</w:t>
      </w:r>
      <w:r>
        <w:t xml:space="preserve">. Routledge. </w:t>
      </w:r>
      <w:hyperlink r:id="rId30">
        <w:r>
          <w:rPr>
            <w:rStyle w:val="Hyperlink"/>
          </w:rPr>
          <w:t>https://doi.org/10.4324/9781315160863</w:t>
        </w:r>
      </w:hyperlink>
    </w:p>
    <w:p w14:paraId="101ADEF4" w14:textId="77777777" w:rsidR="00D81E32" w:rsidRDefault="00000000">
      <w:pPr>
        <w:pStyle w:val="Bibliography"/>
      </w:pPr>
      <w:bookmarkStart w:id="60" w:name="ref-kazamaLexicalAffixesTungusic2011"/>
      <w:bookmarkEnd w:id="59"/>
      <w:r>
        <w:t xml:space="preserve">Kazama, S. (2011). Are there lexical affixes in tungusic, or what is the lexical affix? In T. Kurebito (Ed.), </w:t>
      </w:r>
      <w:r>
        <w:rPr>
          <w:i/>
          <w:iCs/>
        </w:rPr>
        <w:t>Linguistic typology of the north</w:t>
      </w:r>
      <w:r>
        <w:t xml:space="preserve"> (Vol. 2, pp. 55–66). Tokyo University of Foreign Studies.</w:t>
      </w:r>
    </w:p>
    <w:p w14:paraId="71E80098" w14:textId="77777777" w:rsidR="00D81E32" w:rsidRDefault="00000000">
      <w:pPr>
        <w:pStyle w:val="Bibliography"/>
      </w:pPr>
      <w:bookmarkStart w:id="61" w:name="ref-kinkadeOriginsSalishanLexical1998"/>
      <w:bookmarkEnd w:id="60"/>
      <w:r>
        <w:t xml:space="preserve">Kinkade, M. D. (1998). Origins of salishan lexical suffixes. </w:t>
      </w:r>
      <w:r>
        <w:rPr>
          <w:i/>
          <w:iCs/>
        </w:rPr>
        <w:t>International Conference on Salish and Neighbouring Languages</w:t>
      </w:r>
      <w:r>
        <w:t xml:space="preserve">, </w:t>
      </w:r>
      <w:r>
        <w:rPr>
          <w:i/>
          <w:iCs/>
        </w:rPr>
        <w:t>33</w:t>
      </w:r>
      <w:r>
        <w:t>, 266–295.</w:t>
      </w:r>
    </w:p>
    <w:p w14:paraId="6C6BABC5" w14:textId="77777777" w:rsidR="00D81E32" w:rsidRDefault="00000000">
      <w:pPr>
        <w:pStyle w:val="Bibliography"/>
      </w:pPr>
      <w:bookmarkStart w:id="62" w:name="ref-kleinWhatSimpleLetterDetection2016"/>
      <w:bookmarkEnd w:id="61"/>
      <w:r>
        <w:t xml:space="preserve">Klein, R. M., &amp; Saint-Aubin, J. (2016). What a Simple Letter-Detection Task Can Tell Us About Cognitive Processes in Reading. </w:t>
      </w:r>
      <w:r>
        <w:rPr>
          <w:i/>
          <w:iCs/>
        </w:rPr>
        <w:t>Current Directions in Psychological Science</w:t>
      </w:r>
      <w:r>
        <w:t xml:space="preserve">, </w:t>
      </w:r>
      <w:r>
        <w:rPr>
          <w:i/>
          <w:iCs/>
        </w:rPr>
        <w:t>25</w:t>
      </w:r>
      <w:r>
        <w:t xml:space="preserve">(6), 417–424. </w:t>
      </w:r>
      <w:hyperlink r:id="rId31">
        <w:r>
          <w:rPr>
            <w:rStyle w:val="Hyperlink"/>
          </w:rPr>
          <w:t>https://doi.org/10.1177/0963721416661173</w:t>
        </w:r>
      </w:hyperlink>
    </w:p>
    <w:p w14:paraId="79A99BC6" w14:textId="77777777" w:rsidR="00D81E32" w:rsidRDefault="00000000">
      <w:pPr>
        <w:pStyle w:val="Bibliography"/>
      </w:pPr>
      <w:bookmarkStart w:id="63" w:name="ref-krejtzReadingFunctionContent2016"/>
      <w:bookmarkEnd w:id="62"/>
      <w:r>
        <w:t xml:space="preserve">Krejtz, I., Szarkowska, A., &amp; Łogińska, M. (2016). Reading Function and Content Words in Subtitled Videos. </w:t>
      </w:r>
      <w:r>
        <w:rPr>
          <w:i/>
          <w:iCs/>
        </w:rPr>
        <w:t>The Journal of Deaf Studies and Deaf Education</w:t>
      </w:r>
      <w:r>
        <w:t xml:space="preserve">, </w:t>
      </w:r>
      <w:r>
        <w:rPr>
          <w:i/>
          <w:iCs/>
        </w:rPr>
        <w:t>21</w:t>
      </w:r>
      <w:r>
        <w:t xml:space="preserve">(2), 222–232. </w:t>
      </w:r>
      <w:hyperlink r:id="rId32">
        <w:r>
          <w:rPr>
            <w:rStyle w:val="Hyperlink"/>
          </w:rPr>
          <w:t>https://doi.org/10.1093/deafed/env061</w:t>
        </w:r>
      </w:hyperlink>
    </w:p>
    <w:p w14:paraId="7AC9FAD4" w14:textId="77777777" w:rsidR="00D81E32" w:rsidRDefault="00000000">
      <w:pPr>
        <w:pStyle w:val="Bibliography"/>
      </w:pPr>
      <w:bookmarkStart w:id="64" w:name="ref-kupermanWordLengthFrequency2024"/>
      <w:bookmarkEnd w:id="63"/>
      <w:r w:rsidRPr="0070447D">
        <w:rPr>
          <w:lang w:val="da-DK"/>
        </w:rPr>
        <w:lastRenderedPageBreak/>
        <w:t xml:space="preserve">Kuperman, V., Schroeder, S., &amp; </w:t>
      </w:r>
      <w:proofErr w:type="spellStart"/>
      <w:r w:rsidRPr="0070447D">
        <w:rPr>
          <w:lang w:val="da-DK"/>
        </w:rPr>
        <w:t>Gnetov</w:t>
      </w:r>
      <w:proofErr w:type="spellEnd"/>
      <w:r w:rsidRPr="0070447D">
        <w:rPr>
          <w:lang w:val="da-DK"/>
        </w:rPr>
        <w:t xml:space="preserve">, D. (2024). </w:t>
      </w:r>
      <w:r>
        <w:t xml:space="preserve">Word length and frequency effects on text reading are highly similar in 12 alphabetic languages. </w:t>
      </w:r>
      <w:r>
        <w:rPr>
          <w:i/>
          <w:iCs/>
        </w:rPr>
        <w:t>Journal of Memory and Language</w:t>
      </w:r>
      <w:r>
        <w:t xml:space="preserve">, </w:t>
      </w:r>
      <w:r>
        <w:rPr>
          <w:i/>
          <w:iCs/>
        </w:rPr>
        <w:t>135</w:t>
      </w:r>
      <w:r>
        <w:t xml:space="preserve">, 104497. </w:t>
      </w:r>
      <w:hyperlink r:id="rId33">
        <w:r>
          <w:rPr>
            <w:rStyle w:val="Hyperlink"/>
          </w:rPr>
          <w:t>https://doi.org/10.1016/j.jml.2023.104497</w:t>
        </w:r>
      </w:hyperlink>
    </w:p>
    <w:p w14:paraId="31A8999E" w14:textId="77777777" w:rsidR="00D81E32" w:rsidRDefault="00000000">
      <w:pPr>
        <w:pStyle w:val="Bibliography"/>
      </w:pPr>
      <w:bookmarkStart w:id="65" w:name="ref-kurebitoLexicalAffixesChukchi2001"/>
      <w:bookmarkEnd w:id="64"/>
      <w:r>
        <w:t xml:space="preserve">Kurebito, T. (2001). On lexical affixes in chukchi. </w:t>
      </w:r>
      <w:r>
        <w:rPr>
          <w:i/>
          <w:iCs/>
        </w:rPr>
        <w:t>Languages of the Pacific Rim</w:t>
      </w:r>
      <w:r>
        <w:t xml:space="preserve">, </w:t>
      </w:r>
      <w:r>
        <w:rPr>
          <w:i/>
          <w:iCs/>
        </w:rPr>
        <w:t>6</w:t>
      </w:r>
      <w:r>
        <w:t>, 65–84.</w:t>
      </w:r>
    </w:p>
    <w:p w14:paraId="2C1A0CF4" w14:textId="77777777" w:rsidR="00D81E32" w:rsidRDefault="00000000">
      <w:pPr>
        <w:pStyle w:val="Bibliography"/>
      </w:pPr>
      <w:bookmarkStart w:id="66" w:name="Xd4119b2f3cf8316f24c8aab84b8b646d817dc2a"/>
      <w:bookmarkEnd w:id="65"/>
      <w:r w:rsidRPr="0070447D">
        <w:rPr>
          <w:lang w:val="da-DK"/>
        </w:rPr>
        <w:t xml:space="preserve">Lange, V. M., Messerschmidt, M., Harder, P., </w:t>
      </w:r>
      <w:proofErr w:type="spellStart"/>
      <w:r w:rsidRPr="0070447D">
        <w:rPr>
          <w:lang w:val="da-DK"/>
        </w:rPr>
        <w:t>Siebner</w:t>
      </w:r>
      <w:proofErr w:type="spellEnd"/>
      <w:r w:rsidRPr="0070447D">
        <w:rPr>
          <w:lang w:val="da-DK"/>
        </w:rPr>
        <w:t xml:space="preserve">, H. R., &amp; Boye, K. (2017). </w:t>
      </w:r>
      <w:r>
        <w:t xml:space="preserve">Planning and production of grammatical and lexical verbs in multi-word messages. </w:t>
      </w:r>
      <w:r>
        <w:rPr>
          <w:i/>
          <w:iCs/>
        </w:rPr>
        <w:t>PLOS ONE</w:t>
      </w:r>
      <w:r>
        <w:t xml:space="preserve">, </w:t>
      </w:r>
      <w:r>
        <w:rPr>
          <w:i/>
          <w:iCs/>
        </w:rPr>
        <w:t>12</w:t>
      </w:r>
      <w:r>
        <w:t xml:space="preserve">(11), e0186685. </w:t>
      </w:r>
      <w:hyperlink r:id="rId34">
        <w:r>
          <w:rPr>
            <w:rStyle w:val="Hyperlink"/>
          </w:rPr>
          <w:t>https://doi.org/10.1371/journal.pone.0186685</w:t>
        </w:r>
      </w:hyperlink>
    </w:p>
    <w:p w14:paraId="7E6FBC36" w14:textId="77777777" w:rsidR="00D81E32" w:rsidRDefault="00000000">
      <w:pPr>
        <w:pStyle w:val="Bibliography"/>
      </w:pPr>
      <w:bookmarkStart w:id="67" w:name="X8dd4316d97c8ea58cde81ec899f5475aebdbb1b"/>
      <w:bookmarkEnd w:id="66"/>
      <w:r>
        <w:t xml:space="preserve">Lowder, M. W., Choi, W., Ferreira, F., &amp; Henderson, J. M. (2018). Lexical Predictability During Natural Reading: Effects of Surprisal and Entropy Reduction. </w:t>
      </w:r>
      <w:r>
        <w:rPr>
          <w:i/>
          <w:iCs/>
        </w:rPr>
        <w:t>Cognitive Science</w:t>
      </w:r>
      <w:r>
        <w:t xml:space="preserve">, </w:t>
      </w:r>
      <w:r>
        <w:rPr>
          <w:i/>
          <w:iCs/>
        </w:rPr>
        <w:t>42</w:t>
      </w:r>
      <w:r>
        <w:t xml:space="preserve">(S4), 1166–1183. </w:t>
      </w:r>
      <w:hyperlink r:id="rId35">
        <w:r>
          <w:rPr>
            <w:rStyle w:val="Hyperlink"/>
          </w:rPr>
          <w:t>https://doi.org/10.1111/cogs.12597</w:t>
        </w:r>
      </w:hyperlink>
    </w:p>
    <w:p w14:paraId="1F946013" w14:textId="77777777" w:rsidR="00D81E32" w:rsidRDefault="00000000">
      <w:pPr>
        <w:pStyle w:val="Bibliography"/>
      </w:pPr>
      <w:bookmarkStart w:id="68" w:name="Xd40248a11a016e9fc181c1d92cb236de48fa00c"/>
      <w:bookmarkEnd w:id="67"/>
      <w:r>
        <w:t xml:space="preserve">Martinet, A. (1960). </w:t>
      </w:r>
      <w:r>
        <w:rPr>
          <w:i/>
          <w:iCs/>
        </w:rPr>
        <w:t>Éléments de linguistique générale</w:t>
      </w:r>
      <w:r>
        <w:t>. Armand Colin.</w:t>
      </w:r>
    </w:p>
    <w:p w14:paraId="1A368781" w14:textId="77777777" w:rsidR="00D81E32" w:rsidRDefault="00000000">
      <w:pPr>
        <w:pStyle w:val="Bibliography"/>
      </w:pPr>
      <w:bookmarkStart w:id="69" w:name="X7ab20a0649d893680a785c7c3cbb1289b51779c"/>
      <w:bookmarkEnd w:id="68"/>
      <w:r>
        <w:t xml:space="preserve">Mathiassen, I. I. (2025). </w:t>
      </w:r>
      <w:r w:rsidRPr="0070447D">
        <w:rPr>
          <w:i/>
          <w:iCs/>
          <w:lang w:val="da-DK"/>
        </w:rPr>
        <w:t xml:space="preserve">Elevers stavelses- og morfologiske afkodningsstrategier på </w:t>
      </w:r>
      <w:proofErr w:type="spellStart"/>
      <w:r w:rsidRPr="0070447D">
        <w:rPr>
          <w:i/>
          <w:iCs/>
          <w:lang w:val="da-DK"/>
        </w:rPr>
        <w:t>yngstetrinnet</w:t>
      </w:r>
      <w:proofErr w:type="spellEnd"/>
      <w:r w:rsidRPr="0070447D">
        <w:rPr>
          <w:i/>
          <w:iCs/>
          <w:lang w:val="da-DK"/>
        </w:rPr>
        <w:t xml:space="preserve"> - En undersøgelse af læseundervisningen i didaktisk design-perspektiv i faget kalaallisut</w:t>
      </w:r>
      <w:r w:rsidRPr="0070447D">
        <w:rPr>
          <w:lang w:val="da-DK"/>
        </w:rPr>
        <w:t xml:space="preserve"> [</w:t>
      </w:r>
      <w:proofErr w:type="spellStart"/>
      <w:r w:rsidRPr="0070447D">
        <w:rPr>
          <w:lang w:val="da-DK"/>
        </w:rPr>
        <w:t>PhD</w:t>
      </w:r>
      <w:proofErr w:type="spellEnd"/>
      <w:r w:rsidRPr="0070447D">
        <w:rPr>
          <w:lang w:val="da-DK"/>
        </w:rPr>
        <w:t xml:space="preserve"> </w:t>
      </w:r>
      <w:proofErr w:type="spellStart"/>
      <w:r w:rsidRPr="0070447D">
        <w:rPr>
          <w:lang w:val="da-DK"/>
        </w:rPr>
        <w:t>thesis</w:t>
      </w:r>
      <w:proofErr w:type="spellEnd"/>
      <w:r w:rsidRPr="0070447D">
        <w:rPr>
          <w:lang w:val="da-DK"/>
        </w:rPr>
        <w:t xml:space="preserve">, Ilisimatusarfik, University of Greenland]. </w:t>
      </w:r>
      <w:hyperlink r:id="rId36">
        <w:r>
          <w:rPr>
            <w:rStyle w:val="Hyperlink"/>
          </w:rPr>
          <w:t>https://da.uni.gl/media/xmzl4tqe/ivalos-phdafhandling-2025.pdf</w:t>
        </w:r>
      </w:hyperlink>
    </w:p>
    <w:p w14:paraId="38F92818" w14:textId="77777777" w:rsidR="00D81E32" w:rsidRDefault="00000000">
      <w:pPr>
        <w:pStyle w:val="Bibliography"/>
      </w:pPr>
      <w:bookmarkStart w:id="70" w:name="ref-mattissenSubTypesPolysynthesis2017"/>
      <w:bookmarkEnd w:id="69"/>
      <w:r>
        <w:t xml:space="preserve">Mattissen, J. (2017). Sub-Types of Polysynthesis. In M. Fortescue, M. Mithun, &amp; N. Evans (Eds.), </w:t>
      </w:r>
      <w:r>
        <w:rPr>
          <w:i/>
          <w:iCs/>
        </w:rPr>
        <w:t>The Oxford Handbook of Polysynthesis</w:t>
      </w:r>
      <w:r>
        <w:t xml:space="preserve"> (p. 0). Oxford University Press. </w:t>
      </w:r>
      <w:hyperlink r:id="rId37">
        <w:r>
          <w:rPr>
            <w:rStyle w:val="Hyperlink"/>
          </w:rPr>
          <w:t>https://doi.org/10.1093/oxfordhb/9780199683208.013.5</w:t>
        </w:r>
      </w:hyperlink>
    </w:p>
    <w:p w14:paraId="4983FE74" w14:textId="77777777" w:rsidR="00D81E32" w:rsidRDefault="00000000">
      <w:pPr>
        <w:pStyle w:val="Bibliography"/>
      </w:pPr>
      <w:bookmarkStart w:id="71" w:name="Xcef59b2bb06f007a72fd95da2f09a10ca8a1a1f"/>
      <w:bookmarkEnd w:id="70"/>
      <w:r>
        <w:t xml:space="preserve">Mithun, M. (1997). Lexical affixes and morphological typology. In J. L. Bybee, S. A. Thompson, &amp; J. Haiman (Eds.), </w:t>
      </w:r>
      <w:r>
        <w:rPr>
          <w:i/>
          <w:iCs/>
        </w:rPr>
        <w:t>Essays on language function and language type</w:t>
      </w:r>
      <w:r>
        <w:t xml:space="preserve"> (pp. 357–372). John Benjamins Publishing Company.</w:t>
      </w:r>
    </w:p>
    <w:p w14:paraId="67C58AE5" w14:textId="77777777" w:rsidR="00D81E32" w:rsidRDefault="00000000">
      <w:pPr>
        <w:pStyle w:val="Bibliography"/>
      </w:pPr>
      <w:bookmarkStart w:id="72" w:name="ref-nielsenLeksikalskeAffikser2024"/>
      <w:bookmarkEnd w:id="71"/>
      <w:r>
        <w:t xml:space="preserve">Nielsen, M., Trondhjem, N. B., &amp; Boye, K. (2024). </w:t>
      </w:r>
      <w:r w:rsidRPr="0070447D">
        <w:rPr>
          <w:lang w:val="da-DK"/>
        </w:rPr>
        <w:t xml:space="preserve">Leksikalske affikser. </w:t>
      </w:r>
      <w:r w:rsidRPr="0070447D">
        <w:rPr>
          <w:i/>
          <w:iCs/>
          <w:lang w:val="da-DK"/>
        </w:rPr>
        <w:t>Ny forskning i grammatik</w:t>
      </w:r>
      <w:r w:rsidRPr="0070447D">
        <w:rPr>
          <w:lang w:val="da-DK"/>
        </w:rPr>
        <w:t xml:space="preserve">, </w:t>
      </w:r>
      <w:r w:rsidRPr="0070447D">
        <w:rPr>
          <w:i/>
          <w:iCs/>
          <w:lang w:val="da-DK"/>
        </w:rPr>
        <w:t>31</w:t>
      </w:r>
      <w:r w:rsidRPr="0070447D">
        <w:rPr>
          <w:lang w:val="da-DK"/>
        </w:rPr>
        <w:t xml:space="preserve">, 125–139. </w:t>
      </w:r>
      <w:hyperlink r:id="rId38">
        <w:r>
          <w:rPr>
            <w:rStyle w:val="Hyperlink"/>
          </w:rPr>
          <w:t>https://doi.org/10.7146/nfg.v1i31.145297</w:t>
        </w:r>
      </w:hyperlink>
    </w:p>
    <w:p w14:paraId="206E5C78" w14:textId="77777777" w:rsidR="00D81E32" w:rsidRDefault="00000000">
      <w:pPr>
        <w:pStyle w:val="Bibliography"/>
      </w:pPr>
      <w:bookmarkStart w:id="73" w:name="X3c4b0807097255b972658cd696266b90256e761"/>
      <w:bookmarkEnd w:id="72"/>
      <w:r>
        <w:t xml:space="preserve">Nielsen, M., Trondhjem, N., &amp; Boye, K. (under review). </w:t>
      </w:r>
      <w:r>
        <w:rPr>
          <w:i/>
          <w:iCs/>
        </w:rPr>
        <w:t>Lexical affixes</w:t>
      </w:r>
      <w:r>
        <w:t>.</w:t>
      </w:r>
    </w:p>
    <w:p w14:paraId="44DE22F0" w14:textId="77777777" w:rsidR="00D81E32" w:rsidRDefault="00000000">
      <w:pPr>
        <w:pStyle w:val="Bibliography"/>
      </w:pPr>
      <w:bookmarkStart w:id="74" w:name="Xe2c33026a2adcbc355e0ad8f55d102b95bdef3f"/>
      <w:bookmarkEnd w:id="73"/>
      <w:r w:rsidRPr="0070447D">
        <w:rPr>
          <w:lang w:val="da-DK"/>
        </w:rPr>
        <w:t xml:space="preserve">Nielsen, S. R., Boye, K., </w:t>
      </w:r>
      <w:proofErr w:type="spellStart"/>
      <w:r w:rsidRPr="0070447D">
        <w:rPr>
          <w:lang w:val="da-DK"/>
        </w:rPr>
        <w:t>Bastiaanse</w:t>
      </w:r>
      <w:proofErr w:type="spellEnd"/>
      <w:r w:rsidRPr="0070447D">
        <w:rPr>
          <w:lang w:val="da-DK"/>
        </w:rPr>
        <w:t xml:space="preserve">, R., &amp; Lange, V. M. (2019). </w:t>
      </w:r>
      <w:r>
        <w:t xml:space="preserve">The production of grammatical and lexical determiners in Broca’s aphasia. </w:t>
      </w:r>
      <w:r>
        <w:rPr>
          <w:i/>
          <w:iCs/>
        </w:rPr>
        <w:t>Language, Cognition and Neuroscience</w:t>
      </w:r>
      <w:r>
        <w:t xml:space="preserve">, </w:t>
      </w:r>
      <w:r>
        <w:rPr>
          <w:i/>
          <w:iCs/>
        </w:rPr>
        <w:t>34</w:t>
      </w:r>
      <w:r>
        <w:t xml:space="preserve">(8), 1027–1040. </w:t>
      </w:r>
      <w:hyperlink r:id="rId39">
        <w:r>
          <w:rPr>
            <w:rStyle w:val="Hyperlink"/>
          </w:rPr>
          <w:t>https://doi.org/10.1080/23273798.2019.1616104</w:t>
        </w:r>
      </w:hyperlink>
    </w:p>
    <w:p w14:paraId="18EF25A2" w14:textId="77777777" w:rsidR="00D81E32" w:rsidRDefault="00000000">
      <w:pPr>
        <w:pStyle w:val="Bibliography"/>
      </w:pPr>
      <w:bookmarkStart w:id="75" w:name="X7d7144c0a52ec3594cffc5fec0f425498533505"/>
      <w:bookmarkEnd w:id="74"/>
      <w:r>
        <w:t xml:space="preserve">R Core Team. (2021). </w:t>
      </w:r>
      <w:r>
        <w:rPr>
          <w:i/>
          <w:iCs/>
        </w:rPr>
        <w:t>A language and environment for statistical computing</w:t>
      </w:r>
      <w:r>
        <w:t>. R Foundation for Statistical Computing.</w:t>
      </w:r>
    </w:p>
    <w:p w14:paraId="29838687" w14:textId="77777777" w:rsidR="00D81E32" w:rsidRDefault="00000000">
      <w:pPr>
        <w:pStyle w:val="Bibliography"/>
      </w:pPr>
      <w:bookmarkStart w:id="76" w:name="ref-raynerEyeMovementsWord2011"/>
      <w:bookmarkEnd w:id="75"/>
      <w:r>
        <w:t xml:space="preserve">Rayner, K., Slattery, T. J., Drieghe, D., &amp; Liversedge, S. P. (2011). Eye movements and word skipping during reading: Effects of word length and predictability. </w:t>
      </w:r>
      <w:r>
        <w:rPr>
          <w:i/>
          <w:iCs/>
        </w:rPr>
        <w:t>Journal of Experimental Psychology: Human Perception and Performance</w:t>
      </w:r>
      <w:r>
        <w:t xml:space="preserve">, </w:t>
      </w:r>
      <w:r>
        <w:rPr>
          <w:i/>
          <w:iCs/>
        </w:rPr>
        <w:t>37</w:t>
      </w:r>
      <w:r>
        <w:t xml:space="preserve">(2), 514–528. </w:t>
      </w:r>
      <w:hyperlink r:id="rId40">
        <w:r>
          <w:rPr>
            <w:rStyle w:val="Hyperlink"/>
          </w:rPr>
          <w:t>https://doi.org/10.1037/a0020990</w:t>
        </w:r>
      </w:hyperlink>
    </w:p>
    <w:p w14:paraId="35CCB83E" w14:textId="77777777" w:rsidR="00D81E32" w:rsidRDefault="00000000">
      <w:pPr>
        <w:pStyle w:val="Bibliography"/>
      </w:pPr>
      <w:bookmarkStart w:id="77" w:name="ref-reichleEZReaderModel2003"/>
      <w:bookmarkEnd w:id="76"/>
      <w:r>
        <w:lastRenderedPageBreak/>
        <w:t xml:space="preserve">Reichle, E. D., Rayner, K., &amp; Pollatsek, A. (2003). The E-Z Reader model of eye-movement control in reading: Comparisons to other models. </w:t>
      </w:r>
      <w:r>
        <w:rPr>
          <w:i/>
          <w:iCs/>
        </w:rPr>
        <w:t>Behavioral and Brain Sciences</w:t>
      </w:r>
      <w:r>
        <w:t xml:space="preserve">, </w:t>
      </w:r>
      <w:r>
        <w:rPr>
          <w:i/>
          <w:iCs/>
        </w:rPr>
        <w:t>26</w:t>
      </w:r>
      <w:r>
        <w:t xml:space="preserve">(4), 445–476. </w:t>
      </w:r>
      <w:hyperlink r:id="rId41">
        <w:r>
          <w:rPr>
            <w:rStyle w:val="Hyperlink"/>
          </w:rPr>
          <w:t>https://doi.org/10.1017/S0140525X03000104</w:t>
        </w:r>
      </w:hyperlink>
    </w:p>
    <w:p w14:paraId="09C4FC24" w14:textId="77777777" w:rsidR="00D81E32" w:rsidRDefault="00000000">
      <w:pPr>
        <w:pStyle w:val="Bibliography"/>
      </w:pPr>
      <w:bookmarkStart w:id="78" w:name="ref-segalowitzLexicalAccessFunction2000"/>
      <w:bookmarkEnd w:id="77"/>
      <w:r>
        <w:t xml:space="preserve">Segalowitz, S. J., &amp; Lane, K. C. (2000). Lexical Access of Function versus Content Words. </w:t>
      </w:r>
      <w:r>
        <w:rPr>
          <w:i/>
          <w:iCs/>
        </w:rPr>
        <w:t>Brain and Language</w:t>
      </w:r>
      <w:r>
        <w:t xml:space="preserve">, </w:t>
      </w:r>
      <w:r>
        <w:rPr>
          <w:i/>
          <w:iCs/>
        </w:rPr>
        <w:t>75</w:t>
      </w:r>
      <w:r>
        <w:t xml:space="preserve">(3), 376–389. </w:t>
      </w:r>
      <w:hyperlink r:id="rId42">
        <w:r>
          <w:rPr>
            <w:rStyle w:val="Hyperlink"/>
          </w:rPr>
          <w:t>https://doi.org/10.1006/brln.2000.2361</w:t>
        </w:r>
      </w:hyperlink>
    </w:p>
    <w:p w14:paraId="6509ADD8" w14:textId="77777777" w:rsidR="00D81E32" w:rsidRDefault="00000000">
      <w:pPr>
        <w:pStyle w:val="Bibliography"/>
      </w:pPr>
      <w:bookmarkStart w:id="79" w:name="Xfc49065d968bb399454a80a7890debe613e7357"/>
      <w:bookmarkEnd w:id="78"/>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 The Multilingual Eye-movement Corpus (MECO). </w:t>
      </w:r>
      <w:r>
        <w:rPr>
          <w:i/>
          <w:iCs/>
        </w:rPr>
        <w:t>Behavior Research Methods</w:t>
      </w:r>
      <w:r>
        <w:t xml:space="preserve">, </w:t>
      </w:r>
      <w:r>
        <w:rPr>
          <w:i/>
          <w:iCs/>
        </w:rPr>
        <w:t>54</w:t>
      </w:r>
      <w:r>
        <w:t xml:space="preserve">(6), 2843–2863. </w:t>
      </w:r>
      <w:hyperlink r:id="rId43">
        <w:r>
          <w:rPr>
            <w:rStyle w:val="Hyperlink"/>
          </w:rPr>
          <w:t>https://doi.org/10.3758/s13428-021-01772-6</w:t>
        </w:r>
      </w:hyperlink>
    </w:p>
    <w:p w14:paraId="3F5F1D39" w14:textId="77777777" w:rsidR="00D81E32" w:rsidRDefault="00000000">
      <w:pPr>
        <w:pStyle w:val="Bibliography"/>
      </w:pPr>
      <w:bookmarkStart w:id="80" w:name="ref-staubFunctionContentWord2024"/>
      <w:bookmarkEnd w:id="79"/>
      <w:r>
        <w:t xml:space="preserve">Staub, A. (2024). The function/content word distinction and eye movements in reading. </w:t>
      </w:r>
      <w:r>
        <w:rPr>
          <w:i/>
          <w:iCs/>
        </w:rPr>
        <w:t>Journal of Experimental Psychology: Learning, Memory, and Cognition</w:t>
      </w:r>
      <w:r>
        <w:t xml:space="preserve">, </w:t>
      </w:r>
      <w:r>
        <w:rPr>
          <w:i/>
          <w:iCs/>
        </w:rPr>
        <w:t>50</w:t>
      </w:r>
      <w:r>
        <w:t xml:space="preserve">(6), 967–984. </w:t>
      </w:r>
      <w:hyperlink r:id="rId44">
        <w:r>
          <w:rPr>
            <w:rStyle w:val="Hyperlink"/>
          </w:rPr>
          <w:t>https://doi.org/10.1037/xlm0001301</w:t>
        </w:r>
      </w:hyperlink>
    </w:p>
    <w:p w14:paraId="3EF0E0CF" w14:textId="77777777" w:rsidR="00D81E32" w:rsidRDefault="00000000">
      <w:pPr>
        <w:pStyle w:val="Bibliography"/>
      </w:pPr>
      <w:bookmarkStart w:id="81" w:name="ref-talmyTowardCognitiveSemantics2000"/>
      <w:bookmarkEnd w:id="80"/>
      <w:r>
        <w:t xml:space="preserve">Talmy, L. (2000). </w:t>
      </w:r>
      <w:r>
        <w:rPr>
          <w:i/>
          <w:iCs/>
        </w:rPr>
        <w:t>Toward a cognitive semantics. Volume i: Concept structuring systems</w:t>
      </w:r>
      <w:r>
        <w:t>. MIT Press.</w:t>
      </w:r>
    </w:p>
    <w:p w14:paraId="39ED3B84" w14:textId="77777777" w:rsidR="00D81E32" w:rsidRDefault="00000000">
      <w:pPr>
        <w:pStyle w:val="Bibliography"/>
      </w:pPr>
      <w:bookmarkStart w:id="82" w:name="X0dece0ec1e6d323c04cb22046ef24ba5e7f7ff3"/>
      <w:bookmarkEnd w:id="81"/>
      <w:r>
        <w:t xml:space="preserve">Trudgill, P. (2017). The Anthropological Setting of Polysynthesis. In M. Fortescue, M. Mithun, &amp; N. Evans (Eds.), </w:t>
      </w:r>
      <w:r>
        <w:rPr>
          <w:i/>
          <w:iCs/>
        </w:rPr>
        <w:t>The Oxford Handbook of Polysynthesis</w:t>
      </w:r>
      <w:r>
        <w:t xml:space="preserve"> (p. 0). Oxford University Press. </w:t>
      </w:r>
      <w:hyperlink r:id="rId45">
        <w:r>
          <w:rPr>
            <w:rStyle w:val="Hyperlink"/>
          </w:rPr>
          <w:t>https://doi.org/10.1093/oxfordhb/9780199683208.013.13</w:t>
        </w:r>
      </w:hyperlink>
      <w:bookmarkEnd w:id="33"/>
      <w:bookmarkEnd w:id="35"/>
      <w:bookmarkEnd w:id="82"/>
    </w:p>
    <w:sectPr w:rsidR="00D81E32">
      <w:footnotePr>
        <w:numRestart w:val="eachSect"/>
      </w:footnotePr>
      <w:pgSz w:w="12240" w:h="15840"/>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3FD6D" w14:textId="77777777" w:rsidR="00A46BD0" w:rsidRDefault="00A46BD0">
      <w:pPr>
        <w:spacing w:after="0"/>
      </w:pPr>
      <w:r>
        <w:separator/>
      </w:r>
    </w:p>
  </w:endnote>
  <w:endnote w:type="continuationSeparator" w:id="0">
    <w:p w14:paraId="2C0F2C28" w14:textId="77777777" w:rsidR="00A46BD0" w:rsidRDefault="00A46B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AE960" w14:textId="77777777" w:rsidR="00A46BD0" w:rsidRDefault="00A46BD0">
      <w:pPr>
        <w:spacing w:after="0"/>
      </w:pPr>
      <w:r>
        <w:separator/>
      </w:r>
    </w:p>
  </w:footnote>
  <w:footnote w:type="continuationSeparator" w:id="0">
    <w:p w14:paraId="4A0265F1" w14:textId="77777777" w:rsidR="00A46BD0" w:rsidRDefault="00A46BD0">
      <w:pPr>
        <w:spacing w:after="0"/>
      </w:pPr>
      <w:r>
        <w:continuationSeparator/>
      </w:r>
    </w:p>
  </w:footnote>
  <w:footnote w:id="1">
    <w:p w14:paraId="02F9D856" w14:textId="77777777" w:rsidR="00D81E32" w:rsidRDefault="00000000">
      <w:pPr>
        <w:pStyle w:val="FootnoteText"/>
      </w:pPr>
      <w:r>
        <w:rPr>
          <w:rStyle w:val="FootnoteReference"/>
        </w:rPr>
        <w:footnoteRef/>
      </w:r>
      <w:r>
        <w:t xml:space="preserve"> One of the participants only completed half of the experiment due to physical discomfort.</w:t>
      </w:r>
    </w:p>
  </w:footnote>
  <w:footnote w:id="2">
    <w:p w14:paraId="45ED0042" w14:textId="77777777" w:rsidR="00D81E32" w:rsidRDefault="00000000">
      <w:pPr>
        <w:pStyle w:val="FootnoteText"/>
      </w:pPr>
      <w:r>
        <w:rPr>
          <w:rStyle w:val="FootnoteReference"/>
        </w:rPr>
        <w:footnoteRef/>
      </w:r>
      <w:r>
        <w:t xml:space="preserve"> For two participants, it was not possible to calibrate the tracker using the right eye. In these two cases, the left eye was tracked instead.</w:t>
      </w:r>
    </w:p>
  </w:footnote>
  <w:footnote w:id="3">
    <w:p w14:paraId="302FB37B" w14:textId="77777777" w:rsidR="00D81E32" w:rsidRDefault="00000000">
      <w:pPr>
        <w:pStyle w:val="FootnoteText"/>
      </w:pPr>
      <w:r>
        <w:rPr>
          <w:rStyle w:val="FootnoteReference"/>
        </w:rPr>
        <w:footnoteRef/>
      </w:r>
      <w:r>
        <w:t xml:space="preserve"> Two different monitors were used because the first 40 participants were tested in Greenland and the last 12 in Denmark.</w:t>
      </w:r>
    </w:p>
  </w:footnote>
  <w:footnote w:id="4">
    <w:p w14:paraId="31053573" w14:textId="77777777" w:rsidR="00D81E32" w:rsidRDefault="00000000">
      <w:pPr>
        <w:pStyle w:val="FootnoteText"/>
      </w:pPr>
      <w:r>
        <w:rPr>
          <w:rStyle w:val="FootnoteReference"/>
        </w:rPr>
        <w:footnoteRef/>
      </w:r>
      <w:r>
        <w:t xml:space="preserve"> This ensured that the root-target suffix combination was never shorter than 10 letters, a threshold motivated by evidence from Finnish compound processing showing a shift from holistic to decompositional processing at this length (Hyönä et al., 2024). Keeping all roots relatively long thus avoided a potential confound whereby combinations with short target suffixes would sometimes fall below this threshold while those with longer suffixes would not.</w:t>
      </w:r>
    </w:p>
  </w:footnote>
  <w:footnote w:id="5">
    <w:p w14:paraId="2FE0465C" w14:textId="77777777" w:rsidR="00D81E32" w:rsidRDefault="00000000">
      <w:pPr>
        <w:pStyle w:val="FootnoteText"/>
      </w:pPr>
      <w:r>
        <w:rPr>
          <w:rStyle w:val="FootnoteReference"/>
        </w:rPr>
        <w:footnoteRef/>
      </w:r>
      <w:r>
        <w:t xml:space="preserve"> 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6">
    <w:p w14:paraId="49F7F922" w14:textId="77777777" w:rsidR="00D81E32" w:rsidRDefault="00000000">
      <w:pPr>
        <w:pStyle w:val="FootnoteText"/>
      </w:pPr>
      <w:r>
        <w:rPr>
          <w:rStyle w:val="FootnoteReference"/>
        </w:rPr>
        <w:footnoteRef/>
      </w:r>
      <w:r>
        <w:t xml:space="preserve"> The raw data and preprocessing scripts are available here: </w:t>
      </w:r>
      <w:hyperlink r:id="rId1">
        <w:r>
          <w:rPr>
            <w:rStyle w:val="Hyperlink"/>
          </w:rPr>
          <w:t>https://anonymous.4open.science/r/eye_tracking_kalaallisut-450F</w:t>
        </w:r>
      </w:hyperlink>
      <w:r>
        <w:t>.</w:t>
      </w:r>
    </w:p>
  </w:footnote>
  <w:footnote w:id="7">
    <w:p w14:paraId="491D72A8" w14:textId="77777777" w:rsidR="00D81E32" w:rsidRDefault="00000000">
      <w:pPr>
        <w:pStyle w:val="FootnoteText"/>
      </w:pPr>
      <w:r>
        <w:rPr>
          <w:rStyle w:val="FootnoteReference"/>
        </w:rPr>
        <w:footnoteRef/>
      </w:r>
      <w:r>
        <w:t xml:space="preserve"> 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8">
    <w:p w14:paraId="09C460B0" w14:textId="77777777" w:rsidR="00D81E32" w:rsidRDefault="00000000">
      <w:pPr>
        <w:pStyle w:val="FootnoteText"/>
      </w:pPr>
      <w:r>
        <w:rPr>
          <w:rStyle w:val="FootnoteReference"/>
        </w:rPr>
        <w:footnoteRef/>
      </w:r>
      <w:r>
        <w:t xml:space="preserve"> This plot is based on fixation data for all words from sentence 2 and 3 in each item, excluding the first and last word of each sentence.</w:t>
      </w:r>
    </w:p>
  </w:footnote>
  <w:footnote w:id="9">
    <w:p w14:paraId="4DBE089E" w14:textId="77777777" w:rsidR="00D81E32" w:rsidRDefault="00000000">
      <w:pPr>
        <w:pStyle w:val="FootnoteText"/>
      </w:pPr>
      <w:r>
        <w:rPr>
          <w:rStyle w:val="FootnoteReference"/>
        </w:rPr>
        <w:footnoteRef/>
      </w:r>
      <w:r>
        <w:t xml:space="preserve"> We use fixation durations here rather than absolute fixation numbers, as they have the potential to more accurately reflect small differences in attention allocation.</w:t>
      </w:r>
    </w:p>
  </w:footnote>
  <w:footnote w:id="10">
    <w:p w14:paraId="0E5D7695" w14:textId="77777777" w:rsidR="00D81E32" w:rsidRDefault="00000000">
      <w:pPr>
        <w:pStyle w:val="FootnoteText"/>
      </w:pPr>
      <w:r>
        <w:rPr>
          <w:rStyle w:val="FootnoteReference"/>
        </w:rPr>
        <w:footnoteRef/>
      </w:r>
      <w:r>
        <w:t xml:space="preserve"> This plot has four bins, because the shortest baseline words had four letters.</w:t>
      </w:r>
    </w:p>
  </w:footnote>
  <w:footnote w:id="11">
    <w:p w14:paraId="329AFC29" w14:textId="77777777" w:rsidR="00D81E32" w:rsidRDefault="00000000">
      <w:pPr>
        <w:pStyle w:val="FootnoteText"/>
      </w:pPr>
      <w:r>
        <w:rPr>
          <w:rStyle w:val="FootnoteReference"/>
        </w:rPr>
        <w:footnoteRef/>
      </w:r>
      <w:r>
        <w:t xml:space="preserve"> Regression probability is higher if the region has been skipped in the first pass.</w:t>
      </w:r>
    </w:p>
  </w:footnote>
  <w:footnote w:id="12">
    <w:p w14:paraId="7EC8760D" w14:textId="77777777" w:rsidR="00D81E32" w:rsidRDefault="00000000">
      <w:pPr>
        <w:pStyle w:val="FootnoteText"/>
      </w:pPr>
      <w:r>
        <w:rPr>
          <w:rStyle w:val="FootnoteReference"/>
        </w:rPr>
        <w:footnoteRef/>
      </w:r>
      <w:r>
        <w:t xml:space="preserve"> We were not able to obtain reliable predictability measures for the baseline words, so this has not been further explored in the present study.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96FF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31"/>
    <w:multiLevelType w:val="multilevel"/>
    <w:tmpl w:val="DA9E63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32"/>
    <w:multiLevelType w:val="multilevel"/>
    <w:tmpl w:val="43D25B4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33"/>
    <w:multiLevelType w:val="multilevel"/>
    <w:tmpl w:val="CF4051D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34"/>
    <w:multiLevelType w:val="multilevel"/>
    <w:tmpl w:val="C93EEE2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35"/>
    <w:multiLevelType w:val="multilevel"/>
    <w:tmpl w:val="90C2F88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794786269">
    <w:abstractNumId w:val="0"/>
  </w:num>
  <w:num w:numId="2" w16cid:durableId="285966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4844466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6313100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249891731">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229609071">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81E32"/>
    <w:rsid w:val="0070447D"/>
    <w:rsid w:val="00A46BD0"/>
    <w:rsid w:val="00D81E32"/>
    <w:rsid w:val="00F87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E1921"/>
  <w15:docId w15:val="{5E43D074-0710-4284-A67C-55F284B2C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093/oxfordhb/9780198852889.013.4" TargetMode="External"/><Relationship Id="rId26" Type="http://schemas.openxmlformats.org/officeDocument/2006/relationships/hyperlink" Target="https://doi.org/10.1016/j.jml.2023.104474" TargetMode="External"/><Relationship Id="rId39" Type="http://schemas.openxmlformats.org/officeDocument/2006/relationships/hyperlink" Target="https://doi.org/10.1080/23273798.2019.1616104" TargetMode="External"/><Relationship Id="rId21" Type="http://schemas.openxmlformats.org/officeDocument/2006/relationships/hyperlink" Target="https://doi.org/10.1017/langcog.2020.30" TargetMode="External"/><Relationship Id="rId34" Type="http://schemas.openxmlformats.org/officeDocument/2006/relationships/hyperlink" Target="https://doi.org/10.1371/journal.pone.0186685" TargetMode="External"/><Relationship Id="rId42" Type="http://schemas.openxmlformats.org/officeDocument/2006/relationships/hyperlink" Target="https://doi.org/10.1006/brln.2000.2361" TargetMode="External"/><Relationship Id="rId47" Type="http://schemas.openxmlformats.org/officeDocument/2006/relationships/theme" Target="theme/theme1.xml"/><Relationship Id="rId7" Type="http://schemas.openxmlformats.org/officeDocument/2006/relationships/hyperlink" Target="https://anonymous.4open.science/r/eye_tracking_kalaallisut-450F" TargetMode="External"/><Relationship Id="rId2" Type="http://schemas.openxmlformats.org/officeDocument/2006/relationships/styles" Target="styles.xml"/><Relationship Id="rId16" Type="http://schemas.openxmlformats.org/officeDocument/2006/relationships/hyperlink" Target="https://doi.org/10.1016/S0749-596X(02)00539-9" TargetMode="External"/><Relationship Id="rId29" Type="http://schemas.openxmlformats.org/officeDocument/2006/relationships/hyperlink" Target="https://doi.org/10.1037/0033-295X.87.4.32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37/0033-295X.112.4.777" TargetMode="External"/><Relationship Id="rId32" Type="http://schemas.openxmlformats.org/officeDocument/2006/relationships/hyperlink" Target="https://doi.org/10.1093/deafed/env061" TargetMode="External"/><Relationship Id="rId37" Type="http://schemas.openxmlformats.org/officeDocument/2006/relationships/hyperlink" Target="https://doi.org/10.1093/oxfordhb/9780199683208.013.5" TargetMode="External"/><Relationship Id="rId40" Type="http://schemas.openxmlformats.org/officeDocument/2006/relationships/hyperlink" Target="https://doi.org/10.1037/a0020990" TargetMode="External"/><Relationship Id="rId45" Type="http://schemas.openxmlformats.org/officeDocument/2006/relationships/hyperlink" Target="https://doi.org/10.1093/oxfordhb/9780199683208.013.13" TargetMode="External"/><Relationship Id="rId5" Type="http://schemas.openxmlformats.org/officeDocument/2006/relationships/footnotes" Target="footnotes.xml"/><Relationship Id="rId15" Type="http://schemas.openxmlformats.org/officeDocument/2006/relationships/hyperlink" Target="https://doi.org/10.18637/jss.v067.i01" TargetMode="External"/><Relationship Id="rId23" Type="http://schemas.openxmlformats.org/officeDocument/2006/relationships/hyperlink" Target="https://doi.org/10.1017/S0272263102002024" TargetMode="External"/><Relationship Id="rId28" Type="http://schemas.openxmlformats.org/officeDocument/2006/relationships/hyperlink" Target="https://doi.org/10.1016/j.jneuroling.2017.02.001" TargetMode="External"/><Relationship Id="rId36" Type="http://schemas.openxmlformats.org/officeDocument/2006/relationships/hyperlink" Target="https://da.uni.gl/media/xmzl4tqe/ivalos-phdafhandling-2025.pdf" TargetMode="External"/><Relationship Id="rId10" Type="http://schemas.openxmlformats.org/officeDocument/2006/relationships/image" Target="media/image1.png"/><Relationship Id="rId19" Type="http://schemas.openxmlformats.org/officeDocument/2006/relationships/hyperlink" Target="https://doi.org/10.1075/sl.23001.boy" TargetMode="External"/><Relationship Id="rId31" Type="http://schemas.openxmlformats.org/officeDocument/2006/relationships/hyperlink" Target="https://doi.org/10.1177/0963721416661173" TargetMode="External"/><Relationship Id="rId44" Type="http://schemas.openxmlformats.org/officeDocument/2006/relationships/hyperlink" Target="https://doi.org/10.1037/xlm0001301" TargetMode="External"/><Relationship Id="rId4" Type="http://schemas.openxmlformats.org/officeDocument/2006/relationships/webSettings" Target="webSettings.xml"/><Relationship Id="rId9" Type="http://schemas.openxmlformats.org/officeDocument/2006/relationships/hyperlink" Target="https://oqaasileriffik.gl/da/sprogteknologi/korpus/" TargetMode="External"/><Relationship Id="rId14" Type="http://schemas.openxmlformats.org/officeDocument/2006/relationships/image" Target="media/image5.png"/><Relationship Id="rId22" Type="http://schemas.openxmlformats.org/officeDocument/2006/relationships/hyperlink" Target="https://doi.org/10.1016/S0022-5371(81)90220-6" TargetMode="External"/><Relationship Id="rId27" Type="http://schemas.openxmlformats.org/officeDocument/2006/relationships/hyperlink" Target="https://doi.org/10.1007/s10936-018-9589-0" TargetMode="External"/><Relationship Id="rId30" Type="http://schemas.openxmlformats.org/officeDocument/2006/relationships/hyperlink" Target="https://doi.org/10.4324/9781315160863" TargetMode="External"/><Relationship Id="rId35" Type="http://schemas.openxmlformats.org/officeDocument/2006/relationships/hyperlink" Target="https://doi.org/10.1111/cogs.12597" TargetMode="External"/><Relationship Id="rId43" Type="http://schemas.openxmlformats.org/officeDocument/2006/relationships/hyperlink" Target="https://doi.org/10.3758/s13428-021-01772-6" TargetMode="External"/><Relationship Id="rId8" Type="http://schemas.openxmlformats.org/officeDocument/2006/relationships/hyperlink" Target="https://ordbog.g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doi.org/10.1027/1618-3169/a000183" TargetMode="External"/><Relationship Id="rId25" Type="http://schemas.openxmlformats.org/officeDocument/2006/relationships/hyperlink" Target="https://doi.org/10.1086/465662" TargetMode="External"/><Relationship Id="rId33" Type="http://schemas.openxmlformats.org/officeDocument/2006/relationships/hyperlink" Target="https://doi.org/10.1016/j.jml.2023.104497" TargetMode="External"/><Relationship Id="rId38" Type="http://schemas.openxmlformats.org/officeDocument/2006/relationships/hyperlink" Target="https://doi.org/10.7146/nfg.v1i31.145297" TargetMode="External"/><Relationship Id="rId46" Type="http://schemas.openxmlformats.org/officeDocument/2006/relationships/fontTable" Target="fontTable.xml"/><Relationship Id="rId20" Type="http://schemas.openxmlformats.org/officeDocument/2006/relationships/hyperlink" Target="https://doi.org/10.1016/j.jneuroling.2022.101108" TargetMode="External"/><Relationship Id="rId41" Type="http://schemas.openxmlformats.org/officeDocument/2006/relationships/hyperlink" Target="https://doi.org/10.1017/S0140525X03000104"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anonymous.4open.science/r/eye_tracking_kalaallisut-450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26</Pages>
  <Words>8731</Words>
  <Characters>52654</Characters>
  <Application>Microsoft Office Word</Application>
  <DocSecurity>0</DocSecurity>
  <Lines>1053</Lines>
  <Paragraphs>465</Paragraphs>
  <ScaleCrop>false</ScaleCrop>
  <Company/>
  <LinksUpToDate>false</LinksUpToDate>
  <CharactersWithSpaces>60920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tracking in a polysynthetic language: Evidence for a distinction between lexical and grammatical suffixes</dc:title>
  <dc:creator/>
  <cp:keywords/>
  <cp:lastModifiedBy>Solvej Wilbrandt Jæger</cp:lastModifiedBy>
  <cp:revision>2</cp:revision>
  <dcterms:created xsi:type="dcterms:W3CDTF">2026-04-10T09:25:00Z</dcterms:created>
  <dcterms:modified xsi:type="dcterms:W3CDTF">2026-04-10T09:29:00Z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