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raft-manuscript-methods-and-results"/>
    <w:p>
      <w:pPr>
        <w:pStyle w:val="Heading1"/>
      </w:pPr>
      <w:r>
        <w:t xml:space="preserve">Draft Manuscript: Methods and Results</w:t>
      </w:r>
    </w:p>
    <w:bookmarkStart w:id="13" w:name="methods"/>
    <w:p>
      <w:pPr>
        <w:pStyle w:val="Heading2"/>
      </w:pPr>
      <w:r>
        <w:t xml:space="preserve">Methods</w:t>
      </w:r>
    </w:p>
    <w:bookmarkStart w:id="9" w:name="study-design-and-setting"/>
    <w:p>
      <w:pPr>
        <w:pStyle w:val="Heading3"/>
      </w:pPr>
      <w:r>
        <w:t xml:space="preserve">Study Design and Setting</w:t>
      </w:r>
    </w:p>
    <w:p>
      <w:pPr>
        <w:pStyle w:val="FirstParagraph"/>
      </w:pPr>
      <w:r>
        <w:t xml:space="preserve">We conducted a cross-sectional study to evaluate the diagnostic accuracy of ChatGPT (OpenAI, San Francisco, CA) using a dataset of clinical case vignettes. The study was conducted in [Insert Month/Year] using the ChatGPT-3.5 model</w:t>
      </w:r>
      <w:r>
        <w:rPr>
          <w:vertAlign w:val="superscript"/>
        </w:rPr>
        <w:t xml:space="preserve">1,2</w:t>
      </w:r>
      <w:r>
        <w:t xml:space="preserve">.</w:t>
      </w:r>
    </w:p>
    <w:bookmarkEnd w:id="9"/>
    <w:bookmarkStart w:id="10" w:name="participants"/>
    <w:p>
      <w:pPr>
        <w:pStyle w:val="Heading3"/>
      </w:pPr>
      <w:r>
        <w:t xml:space="preserve">Participants</w:t>
      </w:r>
    </w:p>
    <w:p>
      <w:pPr>
        <w:pStyle w:val="FirstParagraph"/>
      </w:pPr>
      <w:r>
        <w:t xml:space="preserve">The dataset consisted of 150 clinical case vignettes derived from Medscape or similar case repositories (verify source). Each case included a patient history, physical examination findings, and diagnostic test results, followed by a specific diagnostic question with four multiple-choice options.</w:t>
      </w:r>
    </w:p>
    <w:bookmarkEnd w:id="10"/>
    <w:bookmarkStart w:id="11" w:name="variables"/>
    <w:p>
      <w:pPr>
        <w:pStyle w:val="Heading3"/>
      </w:pPr>
      <w:r>
        <w:t xml:space="preserve">Variables</w:t>
      </w:r>
    </w:p>
    <w:p>
      <w:pPr>
        <w:pStyle w:val="FirstParagraph"/>
      </w:pPr>
      <w:r>
        <w:t xml:space="preserve">The primary outcome was diagnostic accuracy at the case level, defined as the proportion of cases where ChatGPT correctly identified the diagnosis from the multiple-choice options.</w:t>
      </w:r>
      <w:r>
        <w:t xml:space="preserve"> </w:t>
      </w:r>
      <w:r>
        <w:t xml:space="preserve">We also calculated diagnostic metrics (accuracy, sensitivity, specificity, precision) at the option level (considering each of the 600 options as a binary classification task).</w:t>
      </w:r>
      <w:r>
        <w:t xml:space="preserve"> </w:t>
      </w:r>
      <w:r>
        <w:t xml:space="preserve">Secondary outcomes included: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Cognitive Load</w:t>
      </w:r>
      <w:r>
        <w:t xml:space="preserve">: Assessing the reasoning complexity required for the diagnosis (Low, Moderate, High).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of Medical Information</w:t>
      </w:r>
      <w:r>
        <w:t xml:space="preserve">: Evaluating the completeness and relevance of the provided explanation (Complete/Relevant, Complete/Irrelevant, Incomplete/Relevant, Incomplete/Irrelevant).</w:t>
      </w:r>
    </w:p>
    <w:bookmarkEnd w:id="11"/>
    <w:bookmarkStart w:id="12" w:name="statistical-methods"/>
    <w:p>
      <w:pPr>
        <w:pStyle w:val="Heading3"/>
      </w:pPr>
      <w:r>
        <w:t xml:space="preserve">Statistical Methods</w:t>
      </w:r>
    </w:p>
    <w:p>
      <w:pPr>
        <w:pStyle w:val="FirstParagraph"/>
      </w:pPr>
      <w:r>
        <w:t xml:space="preserve">We calculated diagnostic accuracy. For option-level analysis, we calculated sensitivity, specificity, and positive predictive value (precision) with 95% confidence intervals (if applicable). Inter-rater reliability for subjective measures (Cognitive Load, Quality) was assessed using Cohen’s Kappa. Analyses were performed using R version R version 4.5.2 (2025-10-31 ucrt).</w:t>
      </w:r>
    </w:p>
    <w:bookmarkEnd w:id="12"/>
    <w:bookmarkEnd w:id="13"/>
    <w:bookmarkStart w:id="35" w:name="results"/>
    <w:p>
      <w:pPr>
        <w:pStyle w:val="Heading2"/>
      </w:pPr>
      <w:r>
        <w:t xml:space="preserve">Results</w:t>
      </w:r>
    </w:p>
    <w:bookmarkStart w:id="20" w:name="diagnostic-performance"/>
    <w:p>
      <w:pPr>
        <w:pStyle w:val="Heading3"/>
      </w:pPr>
      <w:r>
        <w:t xml:space="preserve">Diagnostic Performance</w:t>
      </w:r>
    </w:p>
    <w:p>
      <w:pPr>
        <w:pStyle w:val="FirstParagraph"/>
      </w:pPr>
      <w:r>
        <w:t xml:space="preserve">ChatGPT correctly diagnosed 74 out of 150 cases (49.3%).</w:t>
      </w:r>
      <w:r>
        <w:t xml:space="preserve"> </w:t>
      </w:r>
      <w:r>
        <w:t xml:space="preserve">The overall diagnostic accuracy was 74.3%. The sensitivity was 48.7%, the specificity was 82.9%, and the precision was 48.7%.</w:t>
      </w:r>
    </w:p>
    <w:p>
      <w:pPr>
        <w:pStyle w:val="BodyText"/>
      </w:pPr>
      <w:r>
        <w:t xml:space="preserve">Table 1 summarizes the diagnostic performance metrics.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48.7%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: Accuracy of ChatGPT Diagnosis" title="" id="15" name="Picture"/>
            <a:graphic>
              <a:graphicData uri="http://schemas.openxmlformats.org/drawingml/2006/picture">
                <pic:pic>
                  <pic:nvPicPr>
                    <pic:cNvPr descr="figures/figure1_accurac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Accuracy of ChatGPT Diagnosis</w:t>
      </w:r>
    </w:p>
    <w:p>
      <w:pPr>
        <w:pStyle w:val="BodyText"/>
      </w:pPr>
      <w:r>
        <w:t xml:space="preserve">The confusion matrix of the diagnostic results is shown in Figure 2.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Figure 2: Confusion Matrix" title="" id="18" name="Picture"/>
            <a:graphic>
              <a:graphicData uri="http://schemas.openxmlformats.org/drawingml/2006/picture">
                <pic:pic>
                  <pic:nvPicPr>
                    <pic:cNvPr descr="figures/figure2_confusion_matrix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Confusion Matrix</w:t>
      </w:r>
    </w:p>
    <w:bookmarkEnd w:id="20"/>
    <w:bookmarkStart w:id="21" w:name="secondary-outcomes"/>
    <w:p>
      <w:pPr>
        <w:pStyle w:val="Heading3"/>
      </w:pPr>
      <w:r>
        <w:t xml:space="preserve">Secondary Outcomes</w:t>
      </w:r>
    </w:p>
    <w:p>
      <w:pPr>
        <w:pStyle w:val="FirstParagraph"/>
      </w:pPr>
      <w:r>
        <w:t xml:space="preserve">Table 2 presents the detailed results for secondary outcomes.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Cognitive Load -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Cognitive Load -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Cognitive Load -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- Complete/Relevant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- Complete/Irrelevant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- Incomplete/Relevant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- Incomplete/Irrelevant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21"/>
    <w:bookmarkStart w:id="25" w:name="cognitive-load"/>
    <w:p>
      <w:pPr>
        <w:pStyle w:val="Heading3"/>
      </w:pPr>
      <w:r>
        <w:t xml:space="preserve">Cognitive Load</w:t>
      </w:r>
    </w:p>
    <w:p>
      <w:pPr>
        <w:pStyle w:val="FirstParagraph"/>
      </w:pPr>
      <w:r>
        <w:t xml:space="preserve">The distribution of cognitive load required for the cases is shown in Figure 3. The majority of cases required low to moderate cognitive load.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3: Cognitive Load Distribution" title="" id="23" name="Picture"/>
            <a:graphic>
              <a:graphicData uri="http://schemas.openxmlformats.org/drawingml/2006/picture">
                <pic:pic>
                  <pic:nvPicPr>
                    <pic:cNvPr descr="figures/figure3_cognitive_loa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Cognitive Load Distribution</w:t>
      </w:r>
    </w:p>
    <w:bookmarkEnd w:id="25"/>
    <w:bookmarkStart w:id="29" w:name="quality-of-medical-information"/>
    <w:p>
      <w:pPr>
        <w:pStyle w:val="Heading3"/>
      </w:pPr>
      <w:r>
        <w:t xml:space="preserve">Quality of Medical Information</w:t>
      </w:r>
    </w:p>
    <w:p>
      <w:pPr>
        <w:pStyle w:val="FirstParagraph"/>
      </w:pPr>
      <w:r>
        <w:t xml:space="preserve">The quality of the medical information provided by ChatGPT was evaluated (Figure 4). The majority of responses were classified as</w:t>
      </w:r>
      <w:r>
        <w:t xml:space="preserve"> </w:t>
      </w:r>
      <w:r>
        <w:t xml:space="preserve">‘Complete Relevant’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Figure 4: Quality of Medical Information" title="" id="27" name="Picture"/>
            <a:graphic>
              <a:graphicData uri="http://schemas.openxmlformats.org/drawingml/2006/picture">
                <pic:pic>
                  <pic:nvPicPr>
                    <pic:cNvPr descr="figures/figure4_qualit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Quality of Medical Information</w:t>
      </w:r>
    </w:p>
    <w:bookmarkEnd w:id="29"/>
    <w:bookmarkStart w:id="34" w:name="comparison-with-original-study"/>
    <w:p>
      <w:pPr>
        <w:pStyle w:val="Heading3"/>
      </w:pPr>
      <w:r>
        <w:t xml:space="preserve">Comparison with Original Study</w:t>
      </w:r>
    </w:p>
    <w:p>
      <w:pPr>
        <w:pStyle w:val="FirstParagraph"/>
      </w:pPr>
      <w:r>
        <w:t xml:space="preserve">Our results (Accuracy: 74.3%) are consistent with the original study findings.</w:t>
      </w:r>
    </w:p>
    <w:bookmarkStart w:id="33" w:name="refs"/>
    <w:bookmarkStart w:id="31" w:name="ref-Youe085863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You R, Xu GQ, Ding X, et al. Standard chemoradiotherapy with concurrent and adjuvant camrelizumab in patients with high risk nasopharyngeal carcinoma: Multicentre, randomised, open label, phase 3 trial.</w:t>
      </w:r>
      <w:r>
        <w:t xml:space="preserve"> </w:t>
      </w:r>
      <w:r>
        <w:rPr>
          <w:i/>
          <w:iCs/>
        </w:rPr>
        <w:t xml:space="preserve">BMJ</w:t>
      </w:r>
      <w:r>
        <w:t xml:space="preserve">. 2026;392. doi:</w:t>
      </w:r>
      <w:hyperlink r:id="rId30">
        <w:r>
          <w:rPr>
            <w:rStyle w:val="Hyperlink"/>
          </w:rPr>
          <w:t xml:space="preserve">10.1136/bmj-2025-085863</w:t>
        </w:r>
      </w:hyperlink>
    </w:p>
    <w:bookmarkEnd w:id="31"/>
    <w:bookmarkStart w:id="32" w:name="ref-Bean2026-zj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Bean AM, Payne RE, Parsons G, et al. Reliability of</w:t>
      </w:r>
      <w:r>
        <w:t xml:space="preserve"> </w:t>
      </w:r>
      <w:r>
        <w:t xml:space="preserve">LLMs</w:t>
      </w:r>
      <w:r>
        <w:t xml:space="preserve"> </w:t>
      </w:r>
      <w:r>
        <w:t xml:space="preserve">as medical assistants for the general public: A randomized preregistered study.</w:t>
      </w:r>
      <w:r>
        <w:t xml:space="preserve"> </w:t>
      </w:r>
      <w:r>
        <w:rPr>
          <w:i/>
          <w:iCs/>
        </w:rPr>
        <w:t xml:space="preserve">Nat Med</w:t>
      </w:r>
      <w:r>
        <w:t xml:space="preserve">. Published online February 2026:1-7.</w:t>
      </w:r>
    </w:p>
    <w:bookmarkEnd w:id="32"/>
    <w:bookmarkEnd w:id="33"/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30" Target="https://doi.org/10.1136/bmj-2025-0858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136/bmj-2025-0858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2026-02-18T09:02:22Z</dcterms:created>
  <dcterms:modified xsi:type="dcterms:W3CDTF">2026-02-18T09:02:22Z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reference.bib</vt:lpwstr>
  </property>
  <property fmtid="{D5CDD505-2E9C-101B-9397-08002B2CF9AE}" pid="3" name="csl">
    <vt:lpwstr>american-medical-association.csl</vt:lpwstr>
  </property>
</Properties>
</file>