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B3558"/>
          <w:sz w:val="40"/>
          <w:szCs w:val="40"/>
        </w:rPr>
        <w:t xml:space="preserve">The Program Desk</w:t>
      </w:r>
    </w:p>
    <w:p>
      <w:pPr>
        <w:spacing w:after="60"/>
      </w:pPr>
      <w:r>
        <w:rPr>
          <w:rFonts w:ascii="Calibri" w:cs="Calibri" w:eastAsia="Calibri" w:hAnsi="Calibri"/>
          <w:color w:val="1B2340"/>
          <w:sz w:val="23"/>
          <w:szCs w:val="23"/>
        </w:rPr>
        <w:t xml:space="preserve">A cited, refusal-safe retrieval copilot for US defense-acquisition budgets</w:t>
      </w:r>
    </w:p>
    <w:p>
      <w:pPr>
        <w:pBdr>
          <w:bottom w:val="single" w:color="0B3558" w:sz="6"/>
        </w:pBdr>
        <w:spacing w:after="240"/>
      </w:pPr>
      <w:r>
        <w:rPr>
          <w:rFonts w:ascii="Calibri" w:cs="Calibri" w:eastAsia="Calibri" w:hAnsi="Calibri"/>
          <w:i/>
          <w:iCs/>
          <w:color w:val="5B6577"/>
          <w:sz w:val="18"/>
          <w:szCs w:val="18"/>
        </w:rPr>
        <w:t xml:space="preserve">AI Engineering Bootcamp — Final Project  ·  Soledad Villegas  ·  September 2026</w:t>
      </w:r>
    </w:p>
    <w:p>
      <w:pPr>
        <w:pStyle w:val="Heading1"/>
        <w:spacing w:after="130" w:before="260"/>
      </w:pPr>
      <w:r>
        <w:rPr>
          <w:rFonts w:ascii="Cambria" w:cs="Cambria" w:eastAsia="Cambria" w:hAnsi="Cambria"/>
          <w:b/>
          <w:bCs/>
          <w:color w:val="0B3558"/>
          <w:sz w:val="27"/>
          <w:szCs w:val="27"/>
        </w:rPr>
        <w:t xml:space="preserve">1. What the system is</w:t>
      </w:r>
    </w:p>
    <w:p>
      <w:pPr>
        <w:spacing w:after="120" w:line="276"/>
      </w:pPr>
      <w:r>
        <w:rPr>
          <w:rFonts w:ascii="Calibri" w:cs="Calibri" w:eastAsia="Calibri" w:hAnsi="Calibri"/>
          <w:color w:val="1B2340"/>
          <w:sz w:val="21"/>
          <w:szCs w:val="21"/>
        </w:rPr>
        <w:t xml:space="preserve">The Program Desk answers questions about US weapon-acquisition programs — their costs, schedules, quantities and risks — using only official public documents, and it cites the exact document and page behind every claim. When those documents do not support an answer, it says so instead of guessing.</w:t>
      </w:r>
    </w:p>
    <w:p>
      <w:pPr>
        <w:spacing w:after="120" w:line="276"/>
      </w:pPr>
      <w:r>
        <w:rPr>
          <w:rFonts w:ascii="Calibri" w:cs="Calibri" w:eastAsia="Calibri" w:hAnsi="Calibri"/>
          <w:color w:val="1B2340"/>
          <w:sz w:val="21"/>
          <w:szCs w:val="21"/>
        </w:rPr>
        <w:t xml:space="preserve">Three organisations publish on the same programs each year from different vantage points, and they do not always agree. The US Government Accountability Office (GAO) publishes an independent watchdog assessment; the Department of Defense publishes its own budget request, informally the “Weapons Book”; and the Congressional Research Service (CRS) analyses funding for Congress. Each runs to a few hundred pages a year. An analyst who has to brief a decision-maker on, say, the Gerald R. Ford carrier programme must reconcile all three by hand and be right about the page number.</w:t>
      </w:r>
    </w:p>
    <w:p>
      <w:pPr>
        <w:spacing w:after="120" w:line="276"/>
      </w:pPr>
      <w:r>
        <w:rPr>
          <w:rFonts w:ascii="Calibri" w:cs="Calibri" w:eastAsia="Calibri" w:hAnsi="Calibri"/>
          <w:color w:val="1B2340"/>
          <w:sz w:val="21"/>
          <w:szCs w:val="21"/>
        </w:rPr>
        <w:t xml:space="preserve">A general-purpose chatbot is actively unhelpful for this task: it answers fluently from memory and invents citations. </w:t>
      </w:r>
      <w:r>
        <w:rPr>
          <w:rFonts w:ascii="Calibri" w:cs="Calibri" w:eastAsia="Calibri" w:hAnsi="Calibri"/>
          <w:b/>
          <w:bCs/>
          <w:color w:val="1B2340"/>
          <w:sz w:val="21"/>
          <w:szCs w:val="21"/>
        </w:rPr>
        <w:t xml:space="preserve">The design goal here was the opposite — to be useful precisely because it is constrained: retrieve first, cite exactly, compare sources explicitly, and refuse when the corpus is silent.</w:t>
      </w:r>
    </w:p>
    <w:p>
      <w:pPr>
        <w:pStyle w:val="Heading1"/>
        <w:spacing w:after="130" w:before="260"/>
      </w:pPr>
      <w:r>
        <w:rPr>
          <w:rFonts w:ascii="Cambria" w:cs="Cambria" w:eastAsia="Cambria" w:hAnsi="Cambria"/>
          <w:b/>
          <w:bCs/>
          <w:color w:val="0B3558"/>
          <w:sz w:val="27"/>
          <w:szCs w:val="27"/>
        </w:rPr>
        <w:t xml:space="preserve">2. What has been built</w:t>
      </w:r>
    </w:p>
    <w:p>
      <w:pPr>
        <w:spacing w:after="120" w:line="276"/>
      </w:pPr>
      <w:r>
        <w:rPr>
          <w:rFonts w:ascii="Calibri" w:cs="Calibri" w:eastAsia="Calibri" w:hAnsi="Calibri"/>
          <w:color w:val="1B2340"/>
          <w:sz w:val="21"/>
          <w:szCs w:val="21"/>
        </w:rPr>
        <w:t xml:space="preserve">The corpus covers seven source documents — three fiscal years of GAO and of the Weapons Book, plus one CRS report — alongside a live feed of federal contract awards.</w:t>
      </w:r>
    </w:p>
    <w:tbl>
      <w:tblPr>
        <w:tblW w:type="dxa" w:w="8600"/>
        <w:tblBorders>
          <w:top w:val="single" w:color="C9D2E0" w:sz="2"/>
          <w:left w:val="none"/>
          <w:bottom w:val="single" w:color="C9D2E0" w:sz="2"/>
          <w:right w:val="none"/>
          <w:insideH w:val="single" w:color="C9D2E0" w:sz="2"/>
          <w:insideV w:val="none"/>
        </w:tblBorders>
      </w:tblPr>
      <w:tblGrid>
        <w:gridCol w:w="2100"/>
        <w:gridCol w:w="2600"/>
        <w:gridCol w:w="1500"/>
        <w:gridCol w:w="2400"/>
      </w:tblGrid>
      <w:tr>
        <w:trPr>
          <w:tblHeader/>
        </w:trPr>
        <w:tc>
          <w:tcPr>
            <w:tcW w:type="dxa" w:w="21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Source</w:t>
            </w:r>
          </w:p>
        </w:tc>
        <w:tc>
          <w:tcPr>
            <w:tcW w:type="dxa" w:w="26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Document</w:t>
            </w:r>
          </w:p>
        </w:tc>
        <w:tc>
          <w:tcPr>
            <w:tcW w:type="dxa" w:w="15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Years</w:t>
            </w:r>
          </w:p>
        </w:tc>
        <w:tc>
          <w:tcPr>
            <w:tcW w:type="dxa" w:w="24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Role</w:t>
            </w:r>
          </w:p>
        </w:tc>
      </w:tr>
      <w:tr>
        <w:trPr>
          <w:tblHeader w:val="false"/>
        </w:trPr>
        <w:tc>
          <w:tcPr>
            <w:tcW w:type="dxa" w:w="21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GAO</w:t>
            </w:r>
          </w:p>
        </w:tc>
        <w:tc>
          <w:tcPr>
            <w:tcW w:type="dxa" w:w="26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Weapon Systems Annual Assessment</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FY2024–26</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Independent assessment</w:t>
            </w:r>
          </w:p>
        </w:tc>
      </w:tr>
      <w:tr>
        <w:trPr>
          <w:tblHeader w:val="false"/>
        </w:trPr>
        <w:tc>
          <w:tcPr>
            <w:tcW w:type="dxa" w:w="21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DoD</w:t>
            </w:r>
          </w:p>
        </w:tc>
        <w:tc>
          <w:tcPr>
            <w:tcW w:type="dxa" w:w="26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Program Acquisition Costs by Weapon System</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FY2024–26</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The official budget request</w:t>
            </w:r>
          </w:p>
        </w:tc>
      </w:tr>
      <w:tr>
        <w:trPr>
          <w:tblHeader w:val="false"/>
        </w:trPr>
        <w:tc>
          <w:tcPr>
            <w:tcW w:type="dxa" w:w="21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CRS</w:t>
            </w:r>
          </w:p>
        </w:tc>
        <w:tc>
          <w:tcPr>
            <w:tcW w:type="dxa" w:w="26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Defense Budget: Funding for Selected Weapon Systems</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FY2026</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Congressional analysis</w:t>
            </w:r>
          </w:p>
        </w:tc>
      </w:tr>
      <w:tr>
        <w:trPr>
          <w:tblHeader w:val="false"/>
        </w:trPr>
        <w:tc>
          <w:tcPr>
            <w:tcW w:type="dxa" w:w="21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USAspending.gov</w:t>
            </w:r>
          </w:p>
        </w:tc>
        <w:tc>
          <w:tcPr>
            <w:tcW w:type="dxa" w:w="26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Prime contract awards (live API)</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Rolling</w:t>
            </w:r>
          </w:p>
        </w:tc>
        <w:tc>
          <w:tcPr>
            <w:tcW w:type="dxa" w:w="24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Who was actually paid, and when</w:t>
            </w:r>
          </w:p>
        </w:tc>
      </w:tr>
    </w:tbl>
    <w:p>
      <w:pPr>
        <w:spacing w:after="140" w:line="276"/>
      </w:pPr>
      <w:r>
        <w:rPr>
          <w:rFonts w:ascii="Calibri" w:cs="Calibri" w:eastAsia="Calibri" w:hAnsi="Calibri"/>
          <w:color w:val="1B2340"/>
          <w:sz w:val="21"/>
          <w:szCs w:val="21"/>
        </w:rPr>
        <w:t xml:space="preserve"/>
      </w:r>
    </w:p>
    <w:p>
      <w:pPr>
        <w:spacing w:after="120" w:line="276"/>
      </w:pPr>
      <w:r>
        <w:rPr>
          <w:rFonts w:ascii="Calibri" w:cs="Calibri" w:eastAsia="Calibri" w:hAnsi="Calibri"/>
          <w:color w:val="1B2340"/>
          <w:sz w:val="21"/>
          <w:szCs w:val="21"/>
        </w:rPr>
        <w:t xml:space="preserve">Those documents were parsed into 685 retrievable passages, each carrying the exact PDF page range it came from, and roughly a thousand cached page images. On top of that corpus the application provides:</w:t>
      </w:r>
    </w:p>
    <w:p>
      <w:pPr>
        <w:pStyle w:val="ListParagraph"/>
        <w:numPr>
          <w:ilvl w:val="0"/>
          <w:numId w:val="2"/>
        </w:numPr>
        <w:spacing w:after="70" w:line="276"/>
      </w:pPr>
      <w:r>
        <w:rPr>
          <w:rFonts w:ascii="Calibri" w:cs="Calibri" w:eastAsia="Calibri" w:hAnsi="Calibri"/>
          <w:b/>
          <w:bCs/>
          <w:color w:val="1B2340"/>
          <w:sz w:val="21"/>
          <w:szCs w:val="21"/>
        </w:rPr>
        <w:t xml:space="preserve">An agent that decides what to look up: </w:t>
      </w:r>
      <w:r>
        <w:rPr>
          <w:rFonts w:ascii="Calibri" w:cs="Calibri" w:eastAsia="Calibri" w:hAnsi="Calibri"/>
          <w:color w:val="1B2340"/>
          <w:sz w:val="21"/>
          <w:szCs w:val="21"/>
        </w:rPr>
        <w:t xml:space="preserve">the model chooses among eight tools — three document searches, a cross-source divergence check, a vision tool that reads charts, a live contract-award lookup, and two memory tools — rather than following a fixed pipeline.</w:t>
      </w:r>
    </w:p>
    <w:p>
      <w:pPr>
        <w:pStyle w:val="ListParagraph"/>
        <w:numPr>
          <w:ilvl w:val="0"/>
          <w:numId w:val="2"/>
        </w:numPr>
        <w:spacing w:after="70" w:line="276"/>
      </w:pPr>
      <w:r>
        <w:rPr>
          <w:rFonts w:ascii="Calibri" w:cs="Calibri" w:eastAsia="Calibri" w:hAnsi="Calibri"/>
          <w:b/>
          <w:bCs/>
          <w:color w:val="1B2340"/>
          <w:sz w:val="21"/>
          <w:szCs w:val="21"/>
        </w:rPr>
        <w:t xml:space="preserve">Citations that can be checked: </w:t>
      </w:r>
      <w:r>
        <w:rPr>
          <w:rFonts w:ascii="Calibri" w:cs="Calibri" w:eastAsia="Calibri" w:hAnsi="Calibri"/>
          <w:color w:val="1B2340"/>
          <w:sz w:val="21"/>
          <w:szCs w:val="21"/>
        </w:rPr>
        <w:t xml:space="preserve">every factual sentence names its programme and page range, and the cited page image can be opened beside the answer for verification.</w:t>
      </w:r>
    </w:p>
    <w:p>
      <w:pPr>
        <w:pStyle w:val="ListParagraph"/>
        <w:numPr>
          <w:ilvl w:val="0"/>
          <w:numId w:val="2"/>
        </w:numPr>
        <w:spacing w:after="70" w:line="276"/>
      </w:pPr>
      <w:r>
        <w:rPr>
          <w:rFonts w:ascii="Calibri" w:cs="Calibri" w:eastAsia="Calibri" w:hAnsi="Calibri"/>
          <w:b/>
          <w:bCs/>
          <w:color w:val="1B2340"/>
          <w:sz w:val="21"/>
          <w:szCs w:val="21"/>
        </w:rPr>
        <w:t xml:space="preserve">A fiscal-year filter: </w:t>
      </w:r>
      <w:r>
        <w:rPr>
          <w:rFonts w:ascii="Calibri" w:cs="Calibri" w:eastAsia="Calibri" w:hAnsi="Calibri"/>
          <w:color w:val="1B2340"/>
          <w:sz w:val="21"/>
          <w:szCs w:val="21"/>
        </w:rPr>
        <w:t xml:space="preserve">answers can be restricted to one or more fiscal years, enforced in code rather than requested of the model.</w:t>
      </w:r>
    </w:p>
    <w:p>
      <w:pPr>
        <w:pStyle w:val="ListParagraph"/>
        <w:numPr>
          <w:ilvl w:val="0"/>
          <w:numId w:val="2"/>
        </w:numPr>
        <w:spacing w:after="70" w:line="276"/>
      </w:pPr>
      <w:r>
        <w:rPr>
          <w:rFonts w:ascii="Calibri" w:cs="Calibri" w:eastAsia="Calibri" w:hAnsi="Calibri"/>
          <w:b/>
          <w:bCs/>
          <w:color w:val="1B2340"/>
          <w:sz w:val="21"/>
          <w:szCs w:val="21"/>
        </w:rPr>
        <w:t xml:space="preserve">Multimodal input and corpus: </w:t>
      </w:r>
      <w:r>
        <w:rPr>
          <w:rFonts w:ascii="Calibri" w:cs="Calibri" w:eastAsia="Calibri" w:hAnsi="Calibri"/>
          <w:color w:val="1B2340"/>
          <w:sz w:val="21"/>
          <w:szCs w:val="21"/>
        </w:rPr>
        <w:t xml:space="preserve">charts and milestone timelines are read from the page image, and questions can be asked by voice.</w:t>
      </w:r>
    </w:p>
    <w:p>
      <w:pPr>
        <w:pStyle w:val="ListParagraph"/>
        <w:numPr>
          <w:ilvl w:val="0"/>
          <w:numId w:val="2"/>
        </w:numPr>
        <w:spacing w:after="70" w:line="276"/>
      </w:pPr>
      <w:r>
        <w:rPr>
          <w:rFonts w:ascii="Calibri" w:cs="Calibri" w:eastAsia="Calibri" w:hAnsi="Calibri"/>
          <w:b/>
          <w:bCs/>
          <w:color w:val="1B2340"/>
          <w:sz w:val="21"/>
          <w:szCs w:val="21"/>
        </w:rPr>
        <w:t xml:space="preserve">Memory and live data: </w:t>
      </w:r>
      <w:r>
        <w:rPr>
          <w:rFonts w:ascii="Calibri" w:cs="Calibri" w:eastAsia="Calibri" w:hAnsi="Calibri"/>
          <w:color w:val="1B2340"/>
          <w:sz w:val="21"/>
          <w:szCs w:val="21"/>
        </w:rPr>
        <w:t xml:space="preserve">a persistent watchlist survives restarts, and a live panel shows the largest recent contract awards for a programme.</w:t>
      </w:r>
    </w:p>
    <w:p>
      <w:pPr>
        <w:pStyle w:val="ListParagraph"/>
        <w:numPr>
          <w:ilvl w:val="0"/>
          <w:numId w:val="2"/>
        </w:numPr>
        <w:spacing w:after="70" w:line="276"/>
      </w:pPr>
      <w:r>
        <w:rPr>
          <w:rFonts w:ascii="Calibri" w:cs="Calibri" w:eastAsia="Calibri" w:hAnsi="Calibri"/>
          <w:b/>
          <w:bCs/>
          <w:color w:val="1B2340"/>
          <w:sz w:val="21"/>
          <w:szCs w:val="21"/>
        </w:rPr>
        <w:t xml:space="preserve">Full observability: </w:t>
      </w:r>
      <w:r>
        <w:rPr>
          <w:rFonts w:ascii="Calibri" w:cs="Calibri" w:eastAsia="Calibri" w:hAnsi="Calibri"/>
          <w:color w:val="1B2340"/>
          <w:sz w:val="21"/>
          <w:szCs w:val="21"/>
        </w:rPr>
        <w:t xml:space="preserve">every model call and tool call is traced in LangSmith, with tokens, latency and cost.</w:t>
      </w:r>
    </w:p>
    <w:p>
      <w:pPr>
        <w:pStyle w:val="Heading1"/>
        <w:spacing w:after="130" w:before="260"/>
      </w:pPr>
      <w:r>
        <w:rPr>
          <w:rFonts w:ascii="Cambria" w:cs="Cambria" w:eastAsia="Cambria" w:hAnsi="Cambria"/>
          <w:b/>
          <w:bCs/>
          <w:color w:val="0B3558"/>
          <w:sz w:val="27"/>
          <w:szCs w:val="27"/>
        </w:rPr>
        <w:t xml:space="preserve">3. How it works</w:t>
      </w:r>
    </w:p>
    <w:p>
      <w:pPr>
        <w:pStyle w:val="Heading2"/>
        <w:spacing w:after="90" w:before="180"/>
      </w:pPr>
      <w:r>
        <w:rPr>
          <w:rFonts w:ascii="Calibri" w:cs="Calibri" w:eastAsia="Calibri" w:hAnsi="Calibri"/>
          <w:b/>
          <w:bCs/>
          <w:color w:val="1B2340"/>
          <w:sz w:val="22"/>
          <w:szCs w:val="22"/>
        </w:rPr>
        <w:t xml:space="preserve">Ingestion — done once, then cached</w:t>
      </w:r>
    </w:p>
    <w:p>
      <w:pPr>
        <w:spacing w:after="120" w:line="276"/>
      </w:pPr>
      <w:r>
        <w:rPr>
          <w:rFonts w:ascii="Calibri" w:cs="Calibri" w:eastAsia="Calibri" w:hAnsi="Calibri"/>
          <w:color w:val="1B2340"/>
          <w:sz w:val="21"/>
          <w:szCs w:val="21"/>
        </w:rPr>
        <w:t xml:space="preserve">Each PDF is parsed and split along its own natural boundaries rather than into fixed-size windows. GAO publishes a standardised two-page profile per programme, marked by a “Common Name:” header, so one chunk is one programme profile; the Weapons Book and CRS are split by their own numbered sections. This is what makes a citation meaningful — a retrieved passage corresponds to a real unit of the document with a real page range.</w:t>
      </w:r>
    </w:p>
    <w:p>
      <w:pPr>
        <w:spacing w:after="120" w:line="276"/>
      </w:pPr>
      <w:r>
        <w:rPr>
          <w:rFonts w:ascii="Calibri" w:cs="Calibri" w:eastAsia="Calibri" w:hAnsi="Calibri"/>
          <w:color w:val="1B2340"/>
          <w:sz w:val="21"/>
          <w:szCs w:val="21"/>
        </w:rPr>
        <w:t xml:space="preserve">Every chunk is embedded locally with all-MiniLM-L6-v2 and stored in ChromaDB, which persists to disk, so embedding is paid once and costs nothing thereafter. Each chunk’s pages are also rendered to PNG at this stage, which is what later allows the interface to show the cited page and the vision tool to read a chart. Pages that are merely bibliographies (“Related GAO Products”) are excluded here, because they list other reports’ titles and a model asked to summarise one will paraphrase a title as though it were a finding.</w:t>
      </w:r>
    </w:p>
    <w:p>
      <w:pPr>
        <w:pStyle w:val="Heading2"/>
        <w:spacing w:after="90" w:before="180"/>
      </w:pPr>
      <w:r>
        <w:rPr>
          <w:rFonts w:ascii="Calibri" w:cs="Calibri" w:eastAsia="Calibri" w:hAnsi="Calibri"/>
          <w:b/>
          <w:bCs/>
          <w:color w:val="1B2340"/>
          <w:sz w:val="22"/>
          <w:szCs w:val="22"/>
        </w:rPr>
        <w:t xml:space="preserve">Retrieval — hybrid, then reranked</w:t>
      </w:r>
    </w:p>
    <w:p>
      <w:pPr>
        <w:spacing w:after="120" w:line="276"/>
      </w:pPr>
      <w:r>
        <w:rPr>
          <w:rFonts w:ascii="Calibri" w:cs="Calibri" w:eastAsia="Calibri" w:hAnsi="Calibri"/>
          <w:color w:val="1B2340"/>
          <w:sz w:val="21"/>
          <w:szCs w:val="21"/>
        </w:rPr>
        <w:t xml:space="preserve">A question runs against the store in two ways at once. Embedding search catches meaning; BM25 keyword search, with stemming, catches literal terms that embeddings miss — a query for “sensors” failed to match a passage saying “sensor” until stemming was added. The merged candidates are then reordered by a FlashRank cross-encoder, which scores the question and each passage together rather than comparing two independent vectors, and the top four survive.</w:t>
      </w:r>
    </w:p>
    <w:p>
      <w:pPr>
        <w:pStyle w:val="Heading2"/>
        <w:spacing w:after="90" w:before="180"/>
      </w:pPr>
      <w:r>
        <w:rPr>
          <w:rFonts w:ascii="Calibri" w:cs="Calibri" w:eastAsia="Calibri" w:hAnsi="Calibri"/>
          <w:b/>
          <w:bCs/>
          <w:color w:val="1B2340"/>
          <w:sz w:val="22"/>
          <w:szCs w:val="22"/>
        </w:rPr>
        <w:t xml:space="preserve">The agent loop</w:t>
      </w:r>
    </w:p>
    <w:p>
      <w:pPr>
        <w:spacing w:after="120" w:line="276"/>
      </w:pPr>
      <w:r>
        <w:rPr>
          <w:rFonts w:ascii="Calibri" w:cs="Calibri" w:eastAsia="Calibri" w:hAnsi="Calibri"/>
          <w:color w:val="1B2340"/>
          <w:sz w:val="21"/>
          <w:szCs w:val="21"/>
        </w:rPr>
        <w:t xml:space="preserve">There is no agent framework. A hand-written loop sends the question, the conversation history and the tool menu to gpt-4o-mini; the model either answers or asks for tools; the tools run and their results are appended; the loop repeats, up to five rounds, and the final answer streams to the screen as it is written. Because the loop only iterates a registry, adding a tool is a single entry — the loop itself has not changed since the first version.</w:t>
      </w:r>
    </w:p>
    <w:p>
      <w:pPr>
        <w:pStyle w:val="Heading2"/>
        <w:spacing w:after="90" w:before="180"/>
      </w:pPr>
      <w:r>
        <w:rPr>
          <w:rFonts w:ascii="Calibri" w:cs="Calibri" w:eastAsia="Calibri" w:hAnsi="Calibri"/>
          <w:b/>
          <w:bCs/>
          <w:color w:val="1B2340"/>
          <w:sz w:val="22"/>
          <w:szCs w:val="22"/>
        </w:rPr>
        <w:t xml:space="preserve">Guardrails in code, not only in the prompt</w:t>
      </w:r>
    </w:p>
    <w:p>
      <w:pPr>
        <w:spacing w:after="120" w:line="276"/>
      </w:pPr>
      <w:r>
        <w:rPr>
          <w:rFonts w:ascii="Calibri" w:cs="Calibri" w:eastAsia="Calibri" w:hAnsi="Calibri"/>
          <w:color w:val="1B2340"/>
          <w:sz w:val="21"/>
          <w:szCs w:val="21"/>
        </w:rPr>
        <w:t xml:space="preserve">The prompt states the rules, but the rules that matter are enforced mechanically, because prompt instructions proved insufficient during testing:</w:t>
      </w:r>
    </w:p>
    <w:p>
      <w:pPr>
        <w:pStyle w:val="ListParagraph"/>
        <w:numPr>
          <w:ilvl w:val="0"/>
          <w:numId w:val="2"/>
        </w:numPr>
        <w:spacing w:after="70" w:line="276"/>
      </w:pPr>
      <w:r>
        <w:rPr>
          <w:rFonts w:ascii="Calibri" w:cs="Calibri" w:eastAsia="Calibri" w:hAnsi="Calibri"/>
          <w:b/>
          <w:bCs/>
          <w:color w:val="1B2340"/>
          <w:sz w:val="21"/>
          <w:szCs w:val="21"/>
        </w:rPr>
        <w:t xml:space="preserve">Year scope: </w:t>
      </w:r>
      <w:r>
        <w:rPr>
          <w:rFonts w:ascii="Calibri" w:cs="Calibri" w:eastAsia="Calibri" w:hAnsi="Calibri"/>
          <w:color w:val="1B2340"/>
          <w:sz w:val="21"/>
          <w:szCs w:val="21"/>
        </w:rPr>
        <w:t xml:space="preserve">the interface’s selection is applied inside the search functions, so a year the model asks for outside that scope is ignored. With nothing selected, the scope is the latest year, FY2026.</w:t>
      </w:r>
    </w:p>
    <w:p>
      <w:pPr>
        <w:pStyle w:val="ListParagraph"/>
        <w:numPr>
          <w:ilvl w:val="0"/>
          <w:numId w:val="2"/>
        </w:numPr>
        <w:spacing w:after="70" w:line="276"/>
      </w:pPr>
      <w:r>
        <w:rPr>
          <w:rFonts w:ascii="Calibri" w:cs="Calibri" w:eastAsia="Calibri" w:hAnsi="Calibri"/>
          <w:b/>
          <w:bCs/>
          <w:color w:val="1B2340"/>
          <w:sz w:val="21"/>
          <w:szCs w:val="21"/>
        </w:rPr>
        <w:t xml:space="preserve">Coverage check: </w:t>
      </w:r>
      <w:r>
        <w:rPr>
          <w:rFonts w:ascii="Calibri" w:cs="Calibri" w:eastAsia="Calibri" w:hAnsi="Calibri"/>
          <w:color w:val="1B2340"/>
          <w:sz w:val="21"/>
          <w:szCs w:val="21"/>
        </w:rPr>
        <w:t xml:space="preserve">if a question names a specific programme and no retrieved passage is actually about it, the tool says so explicitly in its own output. This was written after the system fabricated a detailed GAO assessment of the F-35 out of a bibliography page.</w:t>
      </w:r>
    </w:p>
    <w:p>
      <w:pPr>
        <w:pStyle w:val="ListParagraph"/>
        <w:numPr>
          <w:ilvl w:val="0"/>
          <w:numId w:val="2"/>
        </w:numPr>
        <w:spacing w:after="70" w:line="276"/>
      </w:pPr>
      <w:r>
        <w:rPr>
          <w:rFonts w:ascii="Calibri" w:cs="Calibri" w:eastAsia="Calibri" w:hAnsi="Calibri"/>
          <w:b/>
          <w:bCs/>
          <w:color w:val="1B2340"/>
          <w:sz w:val="21"/>
          <w:szCs w:val="21"/>
        </w:rPr>
        <w:t xml:space="preserve">Untrusted external text: </w:t>
      </w:r>
      <w:r>
        <w:rPr>
          <w:rFonts w:ascii="Calibri" w:cs="Calibri" w:eastAsia="Calibri" w:hAnsi="Calibri"/>
          <w:color w:val="1B2340"/>
          <w:sz w:val="21"/>
          <w:szCs w:val="21"/>
        </w:rPr>
        <w:t xml:space="preserve">descriptions returned by the live award API are labelled as data, never as instructions.</w:t>
      </w:r>
    </w:p>
    <w:p>
      <w:pPr>
        <w:pStyle w:val="Heading1"/>
        <w:spacing w:after="130" w:before="260"/>
      </w:pPr>
      <w:r>
        <w:rPr>
          <w:rFonts w:ascii="Cambria" w:cs="Cambria" w:eastAsia="Cambria" w:hAnsi="Cambria"/>
          <w:b/>
          <w:bCs/>
          <w:color w:val="0B3558"/>
          <w:sz w:val="27"/>
          <w:szCs w:val="27"/>
        </w:rPr>
        <w:t xml:space="preserve">4. What the evaluation shows</w:t>
      </w:r>
    </w:p>
    <w:p>
      <w:pPr>
        <w:spacing w:after="120" w:line="276"/>
      </w:pPr>
      <w:r>
        <w:rPr>
          <w:rFonts w:ascii="Calibri" w:cs="Calibri" w:eastAsia="Calibri" w:hAnsi="Calibri"/>
          <w:color w:val="1B2340"/>
          <w:sz w:val="21"/>
          <w:szCs w:val="21"/>
        </w:rPr>
        <w:t xml:space="preserve">A 32-question test set was run against the full pipeline and against an ablation with the reranker disabled. Grading is deterministic — expected keywords plus, where relevant, the expected page — rather than an LLM judge, so results are reproducible and free.</w:t>
      </w:r>
    </w:p>
    <w:tbl>
      <w:tblPr>
        <w:tblW w:type="dxa" w:w="8600"/>
        <w:tblBorders>
          <w:top w:val="single" w:color="C9D2E0" w:sz="2"/>
          <w:left w:val="none"/>
          <w:bottom w:val="single" w:color="C9D2E0" w:sz="2"/>
          <w:right w:val="none"/>
          <w:insideH w:val="single" w:color="C9D2E0" w:sz="2"/>
          <w:insideV w:val="none"/>
        </w:tblBorders>
      </w:tblPr>
      <w:tblGrid>
        <w:gridCol w:w="3300"/>
        <w:gridCol w:w="1750"/>
        <w:gridCol w:w="1750"/>
        <w:gridCol w:w="1800"/>
      </w:tblGrid>
      <w:tr>
        <w:trPr>
          <w:tblHeader/>
        </w:trPr>
        <w:tc>
          <w:tcPr>
            <w:tcW w:type="dxa" w:w="33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Configuration</w:t>
            </w:r>
          </w:p>
        </w:tc>
        <w:tc>
          <w:tcPr>
            <w:tcW w:type="dxa" w:w="175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Correct</w:t>
            </w:r>
          </w:p>
        </w:tc>
        <w:tc>
          <w:tcPr>
            <w:tcW w:type="dxa" w:w="175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Citations</w:t>
            </w:r>
          </w:p>
        </w:tc>
        <w:tc>
          <w:tcPr>
            <w:tcW w:type="dxa" w:w="1800"/>
            <w:shd w:fill="EEF2F7" w:val="clear"/>
            <w:tcMar>
              <w:top w:type="dxa" w:w="70"/>
              <w:left w:type="dxa" w:w="110"/>
              <w:bottom w:type="dxa" w:w="70"/>
              <w:right w:type="dxa" w:w="110"/>
            </w:tcMar>
          </w:tcPr>
          <w:p>
            <w:pPr>
              <w:spacing w:after="0" w:line="260"/>
            </w:pPr>
            <w:r>
              <w:rPr>
                <w:rFonts w:ascii="Calibri" w:cs="Calibri" w:eastAsia="Calibri" w:hAnsi="Calibri"/>
                <w:b/>
                <w:bCs/>
                <w:color w:val="0B3558"/>
                <w:sz w:val="19"/>
                <w:szCs w:val="19"/>
              </w:rPr>
              <w:t xml:space="preserve">Avg. latency</w:t>
            </w:r>
          </w:p>
        </w:tc>
      </w:tr>
      <w:tr>
        <w:trPr>
          <w:tblHeader w:val="false"/>
        </w:trPr>
        <w:tc>
          <w:tcPr>
            <w:tcW w:type="dxa" w:w="33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Hybrid retrieval + reranker</w:t>
            </w:r>
          </w:p>
        </w:tc>
        <w:tc>
          <w:tcPr>
            <w:tcW w:type="dxa" w:w="175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31 / 32  (97%)</w:t>
            </w:r>
          </w:p>
        </w:tc>
        <w:tc>
          <w:tcPr>
            <w:tcW w:type="dxa" w:w="175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21 / 22</w:t>
            </w:r>
          </w:p>
        </w:tc>
        <w:tc>
          <w:tcPr>
            <w:tcW w:type="dxa" w:w="18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9.7 s</w:t>
            </w:r>
          </w:p>
        </w:tc>
      </w:tr>
      <w:tr>
        <w:trPr>
          <w:tblHeader w:val="false"/>
        </w:trPr>
        <w:tc>
          <w:tcPr>
            <w:tcW w:type="dxa" w:w="3300"/>
            <w:tcMar>
              <w:top w:type="dxa" w:w="70"/>
              <w:left w:type="dxa" w:w="110"/>
              <w:bottom w:type="dxa" w:w="70"/>
              <w:right w:type="dxa" w:w="110"/>
            </w:tcMar>
          </w:tcPr>
          <w:p>
            <w:pPr>
              <w:spacing w:after="0" w:line="260"/>
            </w:pPr>
            <w:r>
              <w:rPr>
                <w:rFonts w:ascii="Calibri" w:cs="Calibri" w:eastAsia="Calibri" w:hAnsi="Calibri"/>
                <w:b/>
                <w:bCs/>
                <w:color w:val="1B2340"/>
                <w:sz w:val="19"/>
                <w:szCs w:val="19"/>
              </w:rPr>
              <w:t xml:space="preserve">Same pipeline, reranker off</w:t>
            </w:r>
          </w:p>
        </w:tc>
        <w:tc>
          <w:tcPr>
            <w:tcW w:type="dxa" w:w="175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30 / 32  (94%)</w:t>
            </w:r>
          </w:p>
        </w:tc>
        <w:tc>
          <w:tcPr>
            <w:tcW w:type="dxa" w:w="175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21 / 22</w:t>
            </w:r>
          </w:p>
        </w:tc>
        <w:tc>
          <w:tcPr>
            <w:tcW w:type="dxa" w:w="1800"/>
            <w:tcMar>
              <w:top w:type="dxa" w:w="70"/>
              <w:left w:type="dxa" w:w="110"/>
              <w:bottom w:type="dxa" w:w="70"/>
              <w:right w:type="dxa" w:w="110"/>
            </w:tcMar>
          </w:tcPr>
          <w:p>
            <w:pPr>
              <w:spacing w:after="0" w:line="260"/>
            </w:pPr>
            <w:r>
              <w:rPr>
                <w:rFonts w:ascii="Calibri" w:cs="Calibri" w:eastAsia="Calibri" w:hAnsi="Calibri"/>
                <w:b w:val="false"/>
                <w:bCs w:val="false"/>
                <w:color w:val="1B2340"/>
                <w:sz w:val="19"/>
                <w:szCs w:val="19"/>
              </w:rPr>
              <w:t xml:space="preserve">4.6 s</w:t>
            </w:r>
          </w:p>
        </w:tc>
      </w:tr>
    </w:tbl>
    <w:p>
      <w:pPr>
        <w:spacing w:after="140" w:line="276"/>
      </w:pPr>
      <w:r>
        <w:rPr>
          <w:rFonts w:ascii="Calibri" w:cs="Calibri" w:eastAsia="Calibri" w:hAnsi="Calibri"/>
          <w:color w:val="1B2340"/>
          <w:sz w:val="21"/>
          <w:szCs w:val="21"/>
        </w:rPr>
        <w:t xml:space="preserve"/>
      </w:r>
    </w:p>
    <w:p>
      <w:pPr>
        <w:spacing w:after="120" w:line="276"/>
      </w:pPr>
      <w:r>
        <w:rPr>
          <w:rFonts w:ascii="Calibri" w:cs="Calibri" w:eastAsia="Calibri" w:hAnsi="Calibri"/>
          <w:color w:val="1B2340"/>
          <w:sz w:val="21"/>
          <w:szCs w:val="21"/>
        </w:rPr>
        <w:t xml:space="preserve">The reranker is worth three percentage points and roughly five seconds per question. The question it rescues is instructive: without reranking, the page holding the Ford-class cost chart never reaches the top four, so the system correctly refuses rather than answering wrongly. All four deliberately out-of-corpus questions — weather, a recipe, the World Cup — were refused with no tool calls at all.</w:t>
      </w:r>
    </w:p>
    <w:p>
      <w:pPr>
        <w:spacing w:after="120" w:line="276"/>
      </w:pPr>
      <w:r>
        <w:rPr>
          <w:rFonts w:ascii="Calibri" w:cs="Calibri" w:eastAsia="Calibri" w:hAnsi="Calibri"/>
          <w:color w:val="1B2340"/>
          <w:sz w:val="21"/>
          <w:szCs w:val="21"/>
        </w:rPr>
        <w:t xml:space="preserve">Three findings deserve honest statement. First, the single failure common to both runs is a grading artefact rather than a retrieval error: the test expected the nickname “Raptor”, while the corpus profile is titled “F-22 Sensor Enhancements”, and the system answered correctly from the document. Second, the ablation does not isolate reranking as cleanly as the label suggests — BM25 results are appended after the embedding results and only the reranker reorders the merged pool, so “reranker off” behaves closer to “embeddings only”. Third, the two most serious defects found during the project were both regressions in prompt wording, and both were caught by running real questions rather than by reading the code: the fabricated F-35 citation described above, and an over-cautious phase in which broad questions were refused without the system even attempting a search.</w:t>
      </w:r>
    </w:p>
    <w:p>
      <w:pPr>
        <w:pStyle w:val="Heading1"/>
        <w:spacing w:after="130" w:before="260"/>
      </w:pPr>
      <w:r>
        <w:rPr>
          <w:rFonts w:ascii="Cambria" w:cs="Cambria" w:eastAsia="Cambria" w:hAnsi="Cambria"/>
          <w:b/>
          <w:bCs/>
          <w:color w:val="0B3558"/>
          <w:sz w:val="27"/>
          <w:szCs w:val="27"/>
        </w:rPr>
        <w:t xml:space="preserve">5. Why it is useful</w:t>
      </w:r>
    </w:p>
    <w:p>
      <w:pPr>
        <w:spacing w:after="120" w:line="276"/>
      </w:pPr>
      <w:r>
        <w:rPr>
          <w:rFonts w:ascii="Calibri" w:cs="Calibri" w:eastAsia="Calibri" w:hAnsi="Calibri"/>
          <w:color w:val="1B2340"/>
          <w:sz w:val="21"/>
          <w:szCs w:val="21"/>
        </w:rPr>
        <w:t xml:space="preserve">The value is not that it answers questions about defense budgets; it is that its answers can be audited in seconds. A claim arrives with a programme name and a page range, and the page itself can be opened beside it. That inverts the usual burden with generative systems, where checking an answer costs more than looking it up yourself would have.</w:t>
      </w:r>
    </w:p>
    <w:p>
      <w:pPr>
        <w:spacing w:after="120" w:line="276"/>
      </w:pPr>
      <w:r>
        <w:rPr>
          <w:rFonts w:ascii="Calibri" w:cs="Calibri" w:eastAsia="Calibri" w:hAnsi="Calibri"/>
          <w:color w:val="1B2340"/>
          <w:sz w:val="21"/>
          <w:szCs w:val="21"/>
        </w:rPr>
        <w:t xml:space="preserve">Three properties make it usable in a setting where being wrong is expensive. It refuses — demonstrably, and measured. It distinguishes sources rather than blending them, so “what the Department requested” and “what the watchdog found” never silently merge into one voice. And it separates fiscal years, so a question about FY2024 is answered from the FY2024 document rather than from whichever year happened to rank highest.</w:t>
      </w:r>
    </w:p>
    <w:p>
      <w:pPr>
        <w:spacing w:after="120" w:line="276"/>
      </w:pPr>
      <w:r>
        <w:rPr>
          <w:rFonts w:ascii="Calibri" w:cs="Calibri" w:eastAsia="Calibri" w:hAnsi="Calibri"/>
          <w:color w:val="1B2340"/>
          <w:sz w:val="21"/>
          <w:szCs w:val="21"/>
        </w:rPr>
        <w:t xml:space="preserve">It is also cheap to run: local embeddings, a local reranker and an inexpensive model tier put a typical question at roughly $0.002, and the whole project — development and evaluation — cost well under €10.</w:t>
      </w:r>
    </w:p>
    <w:p>
      <w:pPr>
        <w:pStyle w:val="Heading1"/>
        <w:spacing w:after="130" w:before="260"/>
      </w:pPr>
      <w:r>
        <w:rPr>
          <w:rFonts w:ascii="Cambria" w:cs="Cambria" w:eastAsia="Cambria" w:hAnsi="Cambria"/>
          <w:b/>
          <w:bCs/>
          <w:color w:val="0B3558"/>
          <w:sz w:val="27"/>
          <w:szCs w:val="27"/>
        </w:rPr>
        <w:t xml:space="preserve">6. Limitations</w:t>
      </w:r>
    </w:p>
    <w:p>
      <w:pPr>
        <w:pStyle w:val="ListParagraph"/>
        <w:numPr>
          <w:ilvl w:val="0"/>
          <w:numId w:val="2"/>
        </w:numPr>
        <w:spacing w:after="70" w:line="276"/>
      </w:pPr>
      <w:r>
        <w:rPr>
          <w:rFonts w:ascii="Calibri" w:cs="Calibri" w:eastAsia="Calibri" w:hAnsi="Calibri"/>
          <w:b/>
          <w:bCs/>
          <w:color w:val="1B2340"/>
          <w:sz w:val="21"/>
          <w:szCs w:val="21"/>
        </w:rPr>
        <w:t xml:space="preserve">Latency: </w:t>
      </w:r>
      <w:r>
        <w:rPr>
          <w:rFonts w:ascii="Calibri" w:cs="Calibri" w:eastAsia="Calibri" w:hAnsi="Calibri"/>
          <w:color w:val="1B2340"/>
          <w:sz w:val="21"/>
          <w:szCs w:val="21"/>
        </w:rPr>
        <w:t xml:space="preserve">A question takes about fifteen to twenty seconds to begin answering, because three source searches run in sequence before the model starts writing. Parallelising them was measured and was slower on this hardware, since the reranker already uses multiple threads.</w:t>
      </w:r>
    </w:p>
    <w:p>
      <w:pPr>
        <w:pStyle w:val="ListParagraph"/>
        <w:numPr>
          <w:ilvl w:val="0"/>
          <w:numId w:val="2"/>
        </w:numPr>
        <w:spacing w:after="70" w:line="276"/>
      </w:pPr>
      <w:r>
        <w:rPr>
          <w:rFonts w:ascii="Calibri" w:cs="Calibri" w:eastAsia="Calibri" w:hAnsi="Calibri"/>
          <w:b/>
          <w:bCs/>
          <w:color w:val="1B2340"/>
          <w:sz w:val="21"/>
          <w:szCs w:val="21"/>
        </w:rPr>
        <w:t xml:space="preserve">CRS coverage: </w:t>
      </w:r>
      <w:r>
        <w:rPr>
          <w:rFonts w:ascii="Calibri" w:cs="Calibri" w:eastAsia="Calibri" w:hAnsi="Calibri"/>
          <w:color w:val="1B2340"/>
          <w:sz w:val="21"/>
          <w:szCs w:val="21"/>
        </w:rPr>
        <w:t xml:space="preserve">only FY2026 is ingested. The FY2024 and FY2025 editions are a structurally different report series and would need their own section mapping.</w:t>
      </w:r>
    </w:p>
    <w:p>
      <w:pPr>
        <w:pStyle w:val="ListParagraph"/>
        <w:numPr>
          <w:ilvl w:val="0"/>
          <w:numId w:val="2"/>
        </w:numPr>
        <w:spacing w:after="70" w:line="276"/>
      </w:pPr>
      <w:r>
        <w:rPr>
          <w:rFonts w:ascii="Calibri" w:cs="Calibri" w:eastAsia="Calibri" w:hAnsi="Calibri"/>
          <w:b/>
          <w:bCs/>
          <w:color w:val="1B2340"/>
          <w:sz w:val="21"/>
          <w:szCs w:val="21"/>
        </w:rPr>
        <w:t xml:space="preserve">Corpus hygiene: </w:t>
      </w:r>
      <w:r>
        <w:rPr>
          <w:rFonts w:ascii="Calibri" w:cs="Calibri" w:eastAsia="Calibri" w:hAnsi="Calibri"/>
          <w:color w:val="1B2340"/>
          <w:sz w:val="21"/>
          <w:szCs w:val="21"/>
        </w:rPr>
        <w:t xml:space="preserve">230 passages left over from the single-year version of the corpus carry no fiscal-year tag, so the year filter can never return them. They are duplicates of FY2026 content and are harmless, but they should be cleared.</w:t>
      </w:r>
    </w:p>
    <w:p>
      <w:pPr>
        <w:pStyle w:val="ListParagraph"/>
        <w:numPr>
          <w:ilvl w:val="0"/>
          <w:numId w:val="2"/>
        </w:numPr>
        <w:spacing w:after="70" w:line="276"/>
      </w:pPr>
      <w:r>
        <w:rPr>
          <w:rFonts w:ascii="Calibri" w:cs="Calibri" w:eastAsia="Calibri" w:hAnsi="Calibri"/>
          <w:b/>
          <w:bCs/>
          <w:color w:val="1B2340"/>
          <w:sz w:val="21"/>
          <w:szCs w:val="21"/>
        </w:rPr>
        <w:t xml:space="preserve">Deployment: </w:t>
      </w:r>
      <w:r>
        <w:rPr>
          <w:rFonts w:ascii="Calibri" w:cs="Calibri" w:eastAsia="Calibri" w:hAnsi="Calibri"/>
          <w:color w:val="1B2340"/>
          <w:sz w:val="21"/>
          <w:szCs w:val="21"/>
        </w:rPr>
        <w:t xml:space="preserve">the application runs locally, with a single shared watchlist and no authentication, rate limiting or spending cap.</w:t>
      </w:r>
    </w:p>
    <w:p>
      <w:pPr>
        <w:pStyle w:val="ListParagraph"/>
        <w:numPr>
          <w:ilvl w:val="0"/>
          <w:numId w:val="2"/>
        </w:numPr>
        <w:spacing w:after="70" w:line="276"/>
      </w:pPr>
      <w:r>
        <w:rPr>
          <w:rFonts w:ascii="Calibri" w:cs="Calibri" w:eastAsia="Calibri" w:hAnsi="Calibri"/>
          <w:b/>
          <w:bCs/>
          <w:color w:val="1B2340"/>
          <w:sz w:val="21"/>
          <w:szCs w:val="21"/>
        </w:rPr>
        <w:t xml:space="preserve">Evaluation method: </w:t>
      </w:r>
      <w:r>
        <w:rPr>
          <w:rFonts w:ascii="Calibri" w:cs="Calibri" w:eastAsia="Calibri" w:hAnsi="Calibri"/>
          <w:color w:val="1B2340"/>
          <w:sz w:val="21"/>
          <w:szCs w:val="21"/>
        </w:rPr>
        <w:t xml:space="preserve">keyword-and-page grading is cheap and reproducible, but it cannot detect an answer that is well-cited and still subtly wrong.</w:t>
      </w:r>
    </w:p>
    <w:p>
      <w:pPr>
        <w:pStyle w:val="Heading1"/>
        <w:spacing w:after="130" w:before="260"/>
      </w:pPr>
      <w:r>
        <w:rPr>
          <w:rFonts w:ascii="Cambria" w:cs="Cambria" w:eastAsia="Cambria" w:hAnsi="Cambria"/>
          <w:b/>
          <w:bCs/>
          <w:color w:val="0B3558"/>
          <w:sz w:val="27"/>
          <w:szCs w:val="27"/>
        </w:rPr>
        <w:t xml:space="preserve">7. What I would improve next</w:t>
      </w:r>
    </w:p>
    <w:p>
      <w:pPr>
        <w:spacing w:after="120" w:line="276"/>
      </w:pPr>
      <w:r>
        <w:rPr>
          <w:rFonts w:ascii="Calibri" w:cs="Calibri" w:eastAsia="Calibri" w:hAnsi="Calibri"/>
          <w:color w:val="1B2340"/>
          <w:sz w:val="21"/>
          <w:szCs w:val="21"/>
        </w:rPr>
        <w:t xml:space="preserve">In priority order, and each with a reason behind it rather than a preference:</w:t>
      </w:r>
    </w:p>
    <w:p>
      <w:pPr>
        <w:pStyle w:val="ListParagraph"/>
        <w:numPr>
          <w:ilvl w:val="0"/>
          <w:numId w:val="2"/>
        </w:numPr>
        <w:spacing w:after="70" w:line="276"/>
      </w:pPr>
      <w:r>
        <w:rPr>
          <w:rFonts w:ascii="Calibri" w:cs="Calibri" w:eastAsia="Calibri" w:hAnsi="Calibri"/>
          <w:b/>
          <w:bCs/>
          <w:color w:val="1B2340"/>
          <w:sz w:val="21"/>
          <w:szCs w:val="21"/>
        </w:rPr>
        <w:t xml:space="preserve">1. Put the evaluation in continuous integration. </w:t>
      </w:r>
      <w:r>
        <w:rPr>
          <w:rFonts w:ascii="Calibri" w:cs="Calibri" w:eastAsia="Calibri" w:hAnsi="Calibri"/>
          <w:color w:val="1B2340"/>
          <w:sz w:val="21"/>
          <w:szCs w:val="21"/>
        </w:rPr>
        <w:t xml:space="preserve">run the test set automatically on every change to the prompt or the tools. Both serious defects in this project were prompt regressions found by accident; a human noticing is not a control.</w:t>
      </w:r>
    </w:p>
    <w:p>
      <w:pPr>
        <w:pStyle w:val="ListParagraph"/>
        <w:numPr>
          <w:ilvl w:val="0"/>
          <w:numId w:val="2"/>
        </w:numPr>
        <w:spacing w:after="70" w:line="276"/>
      </w:pPr>
      <w:r>
        <w:rPr>
          <w:rFonts w:ascii="Calibri" w:cs="Calibri" w:eastAsia="Calibri" w:hAnsi="Calibri"/>
          <w:b/>
          <w:bCs/>
          <w:color w:val="1B2340"/>
          <w:sz w:val="21"/>
          <w:szCs w:val="21"/>
        </w:rPr>
        <w:t xml:space="preserve">2. Deploy publicly. </w:t>
      </w:r>
      <w:r>
        <w:rPr>
          <w:rFonts w:ascii="Calibri" w:cs="Calibri" w:eastAsia="Calibri" w:hAnsi="Calibri"/>
          <w:color w:val="1B2340"/>
          <w:sz w:val="21"/>
          <w:szCs w:val="21"/>
        </w:rPr>
        <w:t xml:space="preserve">host the application with the API key held as a secret and the vector store hosted, so a restart does not rebuild the indexes.</w:t>
      </w:r>
    </w:p>
    <w:p>
      <w:pPr>
        <w:pStyle w:val="ListParagraph"/>
        <w:numPr>
          <w:ilvl w:val="0"/>
          <w:numId w:val="2"/>
        </w:numPr>
        <w:spacing w:after="70" w:line="276"/>
      </w:pPr>
      <w:r>
        <w:rPr>
          <w:rFonts w:ascii="Calibri" w:cs="Calibri" w:eastAsia="Calibri" w:hAnsi="Calibri"/>
          <w:b/>
          <w:bCs/>
          <w:color w:val="1B2340"/>
          <w:sz w:val="21"/>
          <w:szCs w:val="21"/>
        </w:rPr>
        <w:t xml:space="preserve">3. Make the ablation honest. </w:t>
      </w:r>
      <w:r>
        <w:rPr>
          <w:rFonts w:ascii="Calibri" w:cs="Calibri" w:eastAsia="Calibri" w:hAnsi="Calibri"/>
          <w:color w:val="1B2340"/>
          <w:sz w:val="21"/>
          <w:szCs w:val="21"/>
        </w:rPr>
        <w:t xml:space="preserve">interleave keyword and embedding candidates before truncation, then re-measure the reranker on its own. The current number is defensible but the experiment is not clean.</w:t>
      </w:r>
    </w:p>
    <w:p>
      <w:pPr>
        <w:pStyle w:val="ListParagraph"/>
        <w:numPr>
          <w:ilvl w:val="0"/>
          <w:numId w:val="2"/>
        </w:numPr>
        <w:spacing w:after="70" w:line="276"/>
      </w:pPr>
      <w:r>
        <w:rPr>
          <w:rFonts w:ascii="Calibri" w:cs="Calibri" w:eastAsia="Calibri" w:hAnsi="Calibri"/>
          <w:b/>
          <w:bCs/>
          <w:color w:val="1B2340"/>
          <w:sz w:val="21"/>
          <w:szCs w:val="21"/>
        </w:rPr>
        <w:t xml:space="preserve">4. Cut the latency. </w:t>
      </w:r>
      <w:r>
        <w:rPr>
          <w:rFonts w:ascii="Calibri" w:cs="Calibri" w:eastAsia="Calibri" w:hAnsi="Calibri"/>
          <w:color w:val="1B2340"/>
          <w:sz w:val="21"/>
          <w:szCs w:val="21"/>
        </w:rPr>
        <w:t xml:space="preserve">pin the reranker to a single thread so the three source searches can genuinely run in parallel; the target is roughly eight seconds to first word.</w:t>
      </w:r>
    </w:p>
    <w:p>
      <w:pPr>
        <w:pStyle w:val="ListParagraph"/>
        <w:numPr>
          <w:ilvl w:val="0"/>
          <w:numId w:val="2"/>
        </w:numPr>
        <w:spacing w:after="70" w:line="276"/>
      </w:pPr>
      <w:r>
        <w:rPr>
          <w:rFonts w:ascii="Calibri" w:cs="Calibri" w:eastAsia="Calibri" w:hAnsi="Calibri"/>
          <w:b/>
          <w:bCs/>
          <w:color w:val="1B2340"/>
          <w:sz w:val="21"/>
          <w:szCs w:val="21"/>
        </w:rPr>
        <w:t xml:space="preserve">5. Widen and clean the corpus. </w:t>
      </w:r>
      <w:r>
        <w:rPr>
          <w:rFonts w:ascii="Calibri" w:cs="Calibri" w:eastAsia="Calibri" w:hAnsi="Calibri"/>
          <w:color w:val="1B2340"/>
          <w:sz w:val="21"/>
          <w:szCs w:val="21"/>
        </w:rPr>
        <w:t xml:space="preserve">map the CRS report series for FY2024 and FY2025, extend GAO and the Weapons Book back to FY2021, and clear the untagged legacy passages.</w:t>
      </w:r>
    </w:p>
    <w:p>
      <w:pPr>
        <w:pStyle w:val="ListParagraph"/>
        <w:numPr>
          <w:ilvl w:val="0"/>
          <w:numId w:val="2"/>
        </w:numPr>
        <w:spacing w:after="70" w:line="276"/>
      </w:pPr>
      <w:r>
        <w:rPr>
          <w:rFonts w:ascii="Calibri" w:cs="Calibri" w:eastAsia="Calibri" w:hAnsi="Calibri"/>
          <w:b/>
          <w:bCs/>
          <w:color w:val="1B2340"/>
          <w:sz w:val="21"/>
          <w:szCs w:val="21"/>
        </w:rPr>
        <w:t xml:space="preserve">6. Make it multi-user. </w:t>
      </w:r>
      <w:r>
        <w:rPr>
          <w:rFonts w:ascii="Calibri" w:cs="Calibri" w:eastAsia="Calibri" w:hAnsi="Calibri"/>
          <w:color w:val="1B2340"/>
          <w:sz w:val="21"/>
          <w:szCs w:val="21"/>
        </w:rPr>
        <w:t xml:space="preserve">add authentication and per-user watchlists, plus rate limits and a cost ceiling, before anyone other than its author uses it.</w:t>
      </w:r>
    </w:p>
    <w:p>
      <w:pPr>
        <w:spacing w:after="120" w:line="276"/>
      </w:pPr>
      <w:r>
        <w:rPr>
          <w:rFonts w:ascii="Calibri" w:cs="Calibri" w:eastAsia="Calibri" w:hAnsi="Calibri"/>
          <w:color w:val="1B2340"/>
          <w:sz w:val="21"/>
          <w:szCs w:val="21"/>
        </w:rPr>
        <w:t xml:space="preserve">A seventh item is worth naming even though it is harder: grading currently rewards an answer for containing the right keyword on the right page, which does not prove the claim is faithful to the passage. A groundedness check — sentence by sentence, against the retrieved text — would measure the property the system actually promises. An earlier attempt at this ran as a second model call after every answer and doubled the response time, so it was removed; the right form is an offline check over the test set rather than a live one on every question.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2026-09-06T06:58:12.562Z</dcterms:created>
  <dcterms:modified xsi:type="dcterms:W3CDTF">2026-09-06T06:58:12.563Z</dcterms:modified>
</cp:coreProperties>
</file>

<file path=docProps/custom.xml><?xml version="1.0" encoding="utf-8"?>
<Properties xmlns="http://schemas.openxmlformats.org/officeDocument/2006/custom-properties" xmlns:vt="http://schemas.openxmlformats.org/officeDocument/2006/docPropsVTypes"/>
</file>