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F5B4" w14:textId="266F8BAC" w:rsidR="008016C9" w:rsidRPr="008016C9" w:rsidRDefault="008016C9" w:rsidP="008016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Design </w:t>
      </w:r>
      <w:r w:rsidRPr="008016C9">
        <w:rPr>
          <w:rFonts w:ascii="Times New Roman" w:eastAsia="Times New Roman" w:hAnsi="Times New Roman" w:cs="Times New Roman"/>
          <w:b/>
          <w:bCs/>
          <w:kern w:val="0"/>
          <w:sz w:val="36"/>
          <w:szCs w:val="36"/>
          <w:lang w:eastAsia="en-GB"/>
          <w14:ligatures w14:val="none"/>
        </w:rPr>
        <w:t>Optimizing</w:t>
      </w:r>
      <w:r>
        <w:rPr>
          <w:rFonts w:ascii="Times New Roman" w:eastAsia="Times New Roman" w:hAnsi="Times New Roman" w:cs="Times New Roman"/>
          <w:b/>
          <w:bCs/>
          <w:kern w:val="0"/>
          <w:sz w:val="36"/>
          <w:szCs w:val="36"/>
          <w:lang w:eastAsia="en-GB"/>
          <w14:ligatures w14:val="none"/>
        </w:rPr>
        <w:t xml:space="preserve"> and </w:t>
      </w:r>
      <w:r>
        <w:rPr>
          <w:rFonts w:ascii="Times New Roman" w:eastAsia="Times New Roman" w:hAnsi="Times New Roman" w:cs="Times New Roman"/>
          <w:b/>
          <w:bCs/>
          <w:kern w:val="0"/>
          <w:sz w:val="36"/>
          <w:szCs w:val="36"/>
          <w:lang w:eastAsia="en-GB"/>
          <w14:ligatures w14:val="none"/>
        </w:rPr>
        <w:t>CFD Analysis</w:t>
      </w:r>
      <w:r>
        <w:rPr>
          <w:rFonts w:ascii="Times New Roman" w:eastAsia="Times New Roman" w:hAnsi="Times New Roman" w:cs="Times New Roman"/>
          <w:b/>
          <w:bCs/>
          <w:kern w:val="0"/>
          <w:sz w:val="36"/>
          <w:szCs w:val="36"/>
          <w:lang w:eastAsia="en-GB"/>
          <w14:ligatures w14:val="none"/>
        </w:rPr>
        <w:t xml:space="preserve"> for</w:t>
      </w:r>
      <w:r w:rsidRPr="008016C9">
        <w:rPr>
          <w:rFonts w:ascii="Times New Roman" w:eastAsia="Times New Roman" w:hAnsi="Times New Roman" w:cs="Times New Roman"/>
          <w:b/>
          <w:bCs/>
          <w:kern w:val="0"/>
          <w:sz w:val="36"/>
          <w:szCs w:val="36"/>
          <w:lang w:eastAsia="en-GB"/>
          <w14:ligatures w14:val="none"/>
        </w:rPr>
        <w:t xml:space="preserve"> Radial Vortex Flow Controls </w:t>
      </w:r>
      <w:r>
        <w:rPr>
          <w:rFonts w:ascii="Times New Roman" w:eastAsia="Times New Roman" w:hAnsi="Times New Roman" w:cs="Times New Roman"/>
          <w:b/>
          <w:bCs/>
          <w:kern w:val="0"/>
          <w:sz w:val="36"/>
          <w:szCs w:val="36"/>
          <w:lang w:eastAsia="en-GB"/>
          <w14:ligatures w14:val="none"/>
        </w:rPr>
        <w:t>Device (VFC)</w:t>
      </w:r>
    </w:p>
    <w:p w14:paraId="0AACEC6F"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 xml:space="preserve">Client: </w:t>
      </w:r>
      <w:proofErr w:type="spellStart"/>
      <w:r w:rsidRPr="008016C9">
        <w:rPr>
          <w:rFonts w:ascii="Times New Roman" w:eastAsia="Times New Roman" w:hAnsi="Times New Roman" w:cs="Times New Roman"/>
          <w:b/>
          <w:bCs/>
          <w:kern w:val="0"/>
          <w:lang w:eastAsia="en-GB"/>
          <w14:ligatures w14:val="none"/>
        </w:rPr>
        <w:t>SuDS</w:t>
      </w:r>
      <w:proofErr w:type="spellEnd"/>
      <w:r w:rsidRPr="008016C9">
        <w:rPr>
          <w:rFonts w:ascii="Times New Roman" w:eastAsia="Times New Roman" w:hAnsi="Times New Roman" w:cs="Times New Roman"/>
          <w:b/>
          <w:bCs/>
          <w:kern w:val="0"/>
          <w:lang w:eastAsia="en-GB"/>
          <w14:ligatures w14:val="none"/>
        </w:rPr>
        <w:t xml:space="preserve"> Enviro Ltd | Project: Leeds, UK</w:t>
      </w:r>
    </w:p>
    <w:p w14:paraId="26F7237C" w14:textId="70A3559C" w:rsidR="008016C9" w:rsidRPr="008016C9" w:rsidRDefault="008016C9" w:rsidP="008016C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016C9">
        <w:rPr>
          <w:rFonts w:ascii="Times New Roman" w:eastAsia="Times New Roman" w:hAnsi="Times New Roman" w:cs="Times New Roman"/>
          <w:b/>
          <w:bCs/>
          <w:kern w:val="0"/>
          <w:sz w:val="27"/>
          <w:szCs w:val="27"/>
          <w:lang w:eastAsia="en-GB"/>
          <w14:ligatures w14:val="none"/>
        </w:rPr>
        <w:t>Project Overview</w:t>
      </w:r>
    </w:p>
    <w:p w14:paraId="7219189F"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016C9">
        <w:rPr>
          <w:rFonts w:ascii="Times New Roman" w:eastAsia="Times New Roman" w:hAnsi="Times New Roman" w:cs="Times New Roman"/>
          <w:kern w:val="0"/>
          <w:lang w:eastAsia="en-GB"/>
          <w14:ligatures w14:val="none"/>
        </w:rPr>
        <w:t>SuDS</w:t>
      </w:r>
      <w:proofErr w:type="spellEnd"/>
      <w:r w:rsidRPr="008016C9">
        <w:rPr>
          <w:rFonts w:ascii="Times New Roman" w:eastAsia="Times New Roman" w:hAnsi="Times New Roman" w:cs="Times New Roman"/>
          <w:kern w:val="0"/>
          <w:lang w:eastAsia="en-GB"/>
          <w14:ligatures w14:val="none"/>
        </w:rPr>
        <w:t xml:space="preserve"> Enviro Ltd engaged us to design and simulate a set of </w:t>
      </w:r>
      <w:r w:rsidRPr="008016C9">
        <w:rPr>
          <w:rFonts w:ascii="Times New Roman" w:eastAsia="Times New Roman" w:hAnsi="Times New Roman" w:cs="Times New Roman"/>
          <w:b/>
          <w:bCs/>
          <w:kern w:val="0"/>
          <w:lang w:eastAsia="en-GB"/>
          <w14:ligatures w14:val="none"/>
        </w:rPr>
        <w:t>Radial Vortex Flow Control (VFC)</w:t>
      </w:r>
      <w:r w:rsidRPr="008016C9">
        <w:rPr>
          <w:rFonts w:ascii="Times New Roman" w:eastAsia="Times New Roman" w:hAnsi="Times New Roman" w:cs="Times New Roman"/>
          <w:kern w:val="0"/>
          <w:lang w:eastAsia="en-GB"/>
          <w14:ligatures w14:val="none"/>
        </w:rPr>
        <w:t xml:space="preserve"> devices that control stormwater flows using a purely hydraulic mechanism—without moving parts, power, or complex control systems. These devices needed to manage both low and high flow conditions, enabling unrestricted flow at low volumes and inducing vortex-driven throttling during peak flows.</w:t>
      </w:r>
    </w:p>
    <w:p w14:paraId="47D27E07"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The objective was twofold:</w:t>
      </w:r>
    </w:p>
    <w:p w14:paraId="7139AC87" w14:textId="77777777" w:rsidR="008016C9" w:rsidRPr="008016C9" w:rsidRDefault="008016C9" w:rsidP="008016C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Develop three optimized VFC units</w:t>
      </w:r>
      <w:r w:rsidRPr="008016C9">
        <w:rPr>
          <w:rFonts w:ascii="Times New Roman" w:eastAsia="Times New Roman" w:hAnsi="Times New Roman" w:cs="Times New Roman"/>
          <w:kern w:val="0"/>
          <w:lang w:eastAsia="en-GB"/>
          <w14:ligatures w14:val="none"/>
        </w:rPr>
        <w:t xml:space="preserve"> with different outlet diameters (Ø50mm, Ø75mm, Ø100mm, and extended to Ø125mm &amp; Ø150mm).</w:t>
      </w:r>
    </w:p>
    <w:p w14:paraId="4C9CBD04" w14:textId="77777777" w:rsidR="008016C9" w:rsidRPr="008016C9" w:rsidRDefault="008016C9" w:rsidP="008016C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Build a simulation-backed predictive tool</w:t>
      </w:r>
      <w:r w:rsidRPr="008016C9">
        <w:rPr>
          <w:rFonts w:ascii="Times New Roman" w:eastAsia="Times New Roman" w:hAnsi="Times New Roman" w:cs="Times New Roman"/>
          <w:kern w:val="0"/>
          <w:lang w:eastAsia="en-GB"/>
          <w14:ligatures w14:val="none"/>
        </w:rPr>
        <w:t xml:space="preserve"> capable of generating head–discharge data, orifice sizes, and manufacturing dimensions based on user input of design flow and head.</w:t>
      </w:r>
    </w:p>
    <w:p w14:paraId="340C139A"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We approached this project in two phases—first focusing on establishing a validated baseline </w:t>
      </w:r>
      <w:proofErr w:type="gramStart"/>
      <w:r w:rsidRPr="008016C9">
        <w:rPr>
          <w:rFonts w:ascii="Times New Roman" w:eastAsia="Times New Roman" w:hAnsi="Times New Roman" w:cs="Times New Roman"/>
          <w:kern w:val="0"/>
          <w:lang w:eastAsia="en-GB"/>
          <w14:ligatures w14:val="none"/>
        </w:rPr>
        <w:t>design, and</w:t>
      </w:r>
      <w:proofErr w:type="gramEnd"/>
      <w:r w:rsidRPr="008016C9">
        <w:rPr>
          <w:rFonts w:ascii="Times New Roman" w:eastAsia="Times New Roman" w:hAnsi="Times New Roman" w:cs="Times New Roman"/>
          <w:kern w:val="0"/>
          <w:lang w:eastAsia="en-GB"/>
          <w14:ligatures w14:val="none"/>
        </w:rPr>
        <w:t xml:space="preserve"> then scaling that design into a full product range with predictive capability for future customizations.</w:t>
      </w:r>
    </w:p>
    <w:p w14:paraId="4E58C9EB"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pict w14:anchorId="202D92C0">
          <v:rect id="_x0000_i1025" style="width:0;height:1.5pt" o:hralign="center" o:hrstd="t" o:hr="t" fillcolor="#a0a0a0" stroked="f"/>
        </w:pict>
      </w:r>
    </w:p>
    <w:p w14:paraId="3F472772" w14:textId="55D45EA7" w:rsidR="008016C9" w:rsidRPr="008016C9" w:rsidRDefault="008016C9" w:rsidP="008016C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016C9">
        <w:rPr>
          <w:rFonts w:ascii="Times New Roman" w:eastAsia="Times New Roman" w:hAnsi="Times New Roman" w:cs="Times New Roman"/>
          <w:b/>
          <w:bCs/>
          <w:kern w:val="0"/>
          <w:sz w:val="27"/>
          <w:szCs w:val="27"/>
          <w:lang w:eastAsia="en-GB"/>
          <w14:ligatures w14:val="none"/>
        </w:rPr>
        <w:t>The Challenge</w:t>
      </w:r>
    </w:p>
    <w:p w14:paraId="27C1098C"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Stormwater management devices like VFCs must perform under a wide range of conditions. The client’s expectations were particularly demanding:</w:t>
      </w:r>
    </w:p>
    <w:p w14:paraId="3397FE20" w14:textId="77777777" w:rsidR="008016C9" w:rsidRPr="008016C9" w:rsidRDefault="008016C9" w:rsidP="008016C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 xml:space="preserve">Zero power and no moving </w:t>
      </w:r>
      <w:proofErr w:type="gramStart"/>
      <w:r w:rsidRPr="008016C9">
        <w:rPr>
          <w:rFonts w:ascii="Times New Roman" w:eastAsia="Times New Roman" w:hAnsi="Times New Roman" w:cs="Times New Roman"/>
          <w:b/>
          <w:bCs/>
          <w:kern w:val="0"/>
          <w:lang w:eastAsia="en-GB"/>
          <w14:ligatures w14:val="none"/>
        </w:rPr>
        <w:t>parts</w:t>
      </w:r>
      <w:r w:rsidRPr="008016C9">
        <w:rPr>
          <w:rFonts w:ascii="Times New Roman" w:eastAsia="Times New Roman" w:hAnsi="Times New Roman" w:cs="Times New Roman"/>
          <w:kern w:val="0"/>
          <w:lang w:eastAsia="en-GB"/>
          <w14:ligatures w14:val="none"/>
        </w:rPr>
        <w:t>, yet</w:t>
      </w:r>
      <w:proofErr w:type="gramEnd"/>
      <w:r w:rsidRPr="008016C9">
        <w:rPr>
          <w:rFonts w:ascii="Times New Roman" w:eastAsia="Times New Roman" w:hAnsi="Times New Roman" w:cs="Times New Roman"/>
          <w:kern w:val="0"/>
          <w:lang w:eastAsia="en-GB"/>
          <w14:ligatures w14:val="none"/>
        </w:rPr>
        <w:t xml:space="preserve"> reliably respond to both low and high flows.</w:t>
      </w:r>
    </w:p>
    <w:p w14:paraId="68FCE94A" w14:textId="77777777" w:rsidR="008016C9" w:rsidRPr="008016C9" w:rsidRDefault="008016C9" w:rsidP="008016C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design that </w:t>
      </w:r>
      <w:r w:rsidRPr="008016C9">
        <w:rPr>
          <w:rFonts w:ascii="Times New Roman" w:eastAsia="Times New Roman" w:hAnsi="Times New Roman" w:cs="Times New Roman"/>
          <w:b/>
          <w:bCs/>
          <w:kern w:val="0"/>
          <w:lang w:eastAsia="en-GB"/>
          <w14:ligatures w14:val="none"/>
        </w:rPr>
        <w:t>maximizes flushing</w:t>
      </w:r>
      <w:r w:rsidRPr="008016C9">
        <w:rPr>
          <w:rFonts w:ascii="Times New Roman" w:eastAsia="Times New Roman" w:hAnsi="Times New Roman" w:cs="Times New Roman"/>
          <w:kern w:val="0"/>
          <w:lang w:eastAsia="en-GB"/>
          <w14:ligatures w14:val="none"/>
        </w:rPr>
        <w:t xml:space="preserve"> without increasing blockage risks.</w:t>
      </w:r>
    </w:p>
    <w:p w14:paraId="498EA9A7" w14:textId="77777777" w:rsidR="008016C9" w:rsidRPr="008016C9" w:rsidRDefault="008016C9" w:rsidP="008016C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Self-cleaning characteristics</w:t>
      </w:r>
      <w:r w:rsidRPr="008016C9">
        <w:rPr>
          <w:rFonts w:ascii="Times New Roman" w:eastAsia="Times New Roman" w:hAnsi="Times New Roman" w:cs="Times New Roman"/>
          <w:kern w:val="0"/>
          <w:lang w:eastAsia="en-GB"/>
          <w14:ligatures w14:val="none"/>
        </w:rPr>
        <w:t>, especially during high-flow vortex conditions.</w:t>
      </w:r>
    </w:p>
    <w:p w14:paraId="010F497B" w14:textId="77777777" w:rsidR="008016C9" w:rsidRPr="008016C9" w:rsidRDefault="008016C9" w:rsidP="008016C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Capability to </w:t>
      </w:r>
      <w:r w:rsidRPr="008016C9">
        <w:rPr>
          <w:rFonts w:ascii="Times New Roman" w:eastAsia="Times New Roman" w:hAnsi="Times New Roman" w:cs="Times New Roman"/>
          <w:b/>
          <w:bCs/>
          <w:kern w:val="0"/>
          <w:lang w:eastAsia="en-GB"/>
          <w14:ligatures w14:val="none"/>
        </w:rPr>
        <w:t>throttle flow precisely</w:t>
      </w:r>
      <w:r w:rsidRPr="008016C9">
        <w:rPr>
          <w:rFonts w:ascii="Times New Roman" w:eastAsia="Times New Roman" w:hAnsi="Times New Roman" w:cs="Times New Roman"/>
          <w:kern w:val="0"/>
          <w:lang w:eastAsia="en-GB"/>
          <w14:ligatures w14:val="none"/>
        </w:rPr>
        <w:t xml:space="preserve"> to target discharge rates at specific head heights.</w:t>
      </w:r>
    </w:p>
    <w:p w14:paraId="4282B70B" w14:textId="77777777" w:rsidR="008016C9" w:rsidRPr="008016C9" w:rsidRDefault="008016C9" w:rsidP="008016C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Seamless integration with </w:t>
      </w:r>
      <w:proofErr w:type="spellStart"/>
      <w:r w:rsidRPr="008016C9">
        <w:rPr>
          <w:rFonts w:ascii="Times New Roman" w:eastAsia="Times New Roman" w:hAnsi="Times New Roman" w:cs="Times New Roman"/>
          <w:kern w:val="0"/>
          <w:lang w:eastAsia="en-GB"/>
          <w14:ligatures w14:val="none"/>
        </w:rPr>
        <w:t>SuDS</w:t>
      </w:r>
      <w:proofErr w:type="spellEnd"/>
      <w:r w:rsidRPr="008016C9">
        <w:rPr>
          <w:rFonts w:ascii="Times New Roman" w:eastAsia="Times New Roman" w:hAnsi="Times New Roman" w:cs="Times New Roman"/>
          <w:kern w:val="0"/>
          <w:lang w:eastAsia="en-GB"/>
          <w14:ligatures w14:val="none"/>
        </w:rPr>
        <w:t xml:space="preserve"> infrastructure with minimal post-installation modification.</w:t>
      </w:r>
    </w:p>
    <w:p w14:paraId="2BB50627"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In addition, the client emphasized:</w:t>
      </w:r>
    </w:p>
    <w:p w14:paraId="5AB9CD59" w14:textId="77777777" w:rsidR="008016C9" w:rsidRPr="008016C9" w:rsidRDefault="008016C9" w:rsidP="008016C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w:t>
      </w:r>
      <w:r w:rsidRPr="008016C9">
        <w:rPr>
          <w:rFonts w:ascii="Times New Roman" w:eastAsia="Times New Roman" w:hAnsi="Times New Roman" w:cs="Times New Roman"/>
          <w:b/>
          <w:bCs/>
          <w:kern w:val="0"/>
          <w:lang w:eastAsia="en-GB"/>
          <w14:ligatures w14:val="none"/>
        </w:rPr>
        <w:t>cross-sectional area 3–6 times</w:t>
      </w:r>
      <w:r w:rsidRPr="008016C9">
        <w:rPr>
          <w:rFonts w:ascii="Times New Roman" w:eastAsia="Times New Roman" w:hAnsi="Times New Roman" w:cs="Times New Roman"/>
          <w:kern w:val="0"/>
          <w:lang w:eastAsia="en-GB"/>
          <w14:ligatures w14:val="none"/>
        </w:rPr>
        <w:t xml:space="preserve"> greater than traditional orifice plates.</w:t>
      </w:r>
    </w:p>
    <w:p w14:paraId="2507BE9A" w14:textId="77777777" w:rsidR="008016C9" w:rsidRPr="008016C9" w:rsidRDefault="008016C9" w:rsidP="008016C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design with </w:t>
      </w:r>
      <w:r w:rsidRPr="008016C9">
        <w:rPr>
          <w:rFonts w:ascii="Times New Roman" w:eastAsia="Times New Roman" w:hAnsi="Times New Roman" w:cs="Times New Roman"/>
          <w:b/>
          <w:bCs/>
          <w:kern w:val="0"/>
          <w:lang w:eastAsia="en-GB"/>
          <w14:ligatures w14:val="none"/>
        </w:rPr>
        <w:t>large internal openings</w:t>
      </w:r>
      <w:r w:rsidRPr="008016C9">
        <w:rPr>
          <w:rFonts w:ascii="Times New Roman" w:eastAsia="Times New Roman" w:hAnsi="Times New Roman" w:cs="Times New Roman"/>
          <w:kern w:val="0"/>
          <w:lang w:eastAsia="en-GB"/>
          <w14:ligatures w14:val="none"/>
        </w:rPr>
        <w:t xml:space="preserve"> to reduce the chance of clogging.</w:t>
      </w:r>
    </w:p>
    <w:p w14:paraId="3527E9AC" w14:textId="77777777" w:rsidR="008016C9" w:rsidRPr="008016C9" w:rsidRDefault="008016C9" w:rsidP="008016C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need to </w:t>
      </w:r>
      <w:r w:rsidRPr="008016C9">
        <w:rPr>
          <w:rFonts w:ascii="Times New Roman" w:eastAsia="Times New Roman" w:hAnsi="Times New Roman" w:cs="Times New Roman"/>
          <w:b/>
          <w:bCs/>
          <w:kern w:val="0"/>
          <w:lang w:eastAsia="en-GB"/>
          <w14:ligatures w14:val="none"/>
        </w:rPr>
        <w:t xml:space="preserve">simulate and visualize flow </w:t>
      </w:r>
      <w:proofErr w:type="spellStart"/>
      <w:r w:rsidRPr="008016C9">
        <w:rPr>
          <w:rFonts w:ascii="Times New Roman" w:eastAsia="Times New Roman" w:hAnsi="Times New Roman" w:cs="Times New Roman"/>
          <w:b/>
          <w:bCs/>
          <w:kern w:val="0"/>
          <w:lang w:eastAsia="en-GB"/>
          <w14:ligatures w14:val="none"/>
        </w:rPr>
        <w:t>behavior</w:t>
      </w:r>
      <w:proofErr w:type="spellEnd"/>
      <w:r w:rsidRPr="008016C9">
        <w:rPr>
          <w:rFonts w:ascii="Times New Roman" w:eastAsia="Times New Roman" w:hAnsi="Times New Roman" w:cs="Times New Roman"/>
          <w:kern w:val="0"/>
          <w:lang w:eastAsia="en-GB"/>
          <w14:ligatures w14:val="none"/>
        </w:rPr>
        <w:t>, especially for kickback and flush thresholds.</w:t>
      </w:r>
    </w:p>
    <w:p w14:paraId="573C2926" w14:textId="77777777" w:rsidR="008016C9" w:rsidRPr="008016C9" w:rsidRDefault="008016C9" w:rsidP="008016C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deliverable in the form of a </w:t>
      </w:r>
      <w:r w:rsidRPr="008016C9">
        <w:rPr>
          <w:rFonts w:ascii="Times New Roman" w:eastAsia="Times New Roman" w:hAnsi="Times New Roman" w:cs="Times New Roman"/>
          <w:b/>
          <w:bCs/>
          <w:kern w:val="0"/>
          <w:lang w:eastAsia="en-GB"/>
          <w14:ligatures w14:val="none"/>
        </w:rPr>
        <w:t>locked Excel-based calculator</w:t>
      </w:r>
      <w:r w:rsidRPr="008016C9">
        <w:rPr>
          <w:rFonts w:ascii="Times New Roman" w:eastAsia="Times New Roman" w:hAnsi="Times New Roman" w:cs="Times New Roman"/>
          <w:kern w:val="0"/>
          <w:lang w:eastAsia="en-GB"/>
          <w14:ligatures w14:val="none"/>
        </w:rPr>
        <w:t>, generating both numeric outputs and graphical performance curves for each unit size.</w:t>
      </w:r>
    </w:p>
    <w:p w14:paraId="3A038374"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pict w14:anchorId="0F6392BD">
          <v:rect id="_x0000_i1026" style="width:0;height:1.5pt" o:hralign="center" o:hrstd="t" o:hr="t" fillcolor="#a0a0a0" stroked="f"/>
        </w:pict>
      </w:r>
    </w:p>
    <w:p w14:paraId="33D6BB27" w14:textId="77BDFA97" w:rsidR="008016C9" w:rsidRPr="008016C9" w:rsidRDefault="008016C9" w:rsidP="008016C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016C9">
        <w:rPr>
          <w:rFonts w:ascii="Times New Roman" w:eastAsia="Times New Roman" w:hAnsi="Times New Roman" w:cs="Times New Roman"/>
          <w:b/>
          <w:bCs/>
          <w:kern w:val="0"/>
          <w:sz w:val="27"/>
          <w:szCs w:val="27"/>
          <w:lang w:eastAsia="en-GB"/>
          <w14:ligatures w14:val="none"/>
        </w:rPr>
        <w:lastRenderedPageBreak/>
        <w:t>Our Solution</w:t>
      </w:r>
    </w:p>
    <w:p w14:paraId="4FD6A1FB" w14:textId="77777777" w:rsidR="008016C9" w:rsidRPr="008016C9" w:rsidRDefault="008016C9" w:rsidP="008016C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016C9">
        <w:rPr>
          <w:rFonts w:ascii="Times New Roman" w:eastAsia="Times New Roman" w:hAnsi="Times New Roman" w:cs="Times New Roman"/>
          <w:b/>
          <w:bCs/>
          <w:kern w:val="0"/>
          <w:lang w:eastAsia="en-GB"/>
          <w14:ligatures w14:val="none"/>
        </w:rPr>
        <w:t xml:space="preserve">Geometric and Performance </w:t>
      </w:r>
      <w:proofErr w:type="spellStart"/>
      <w:r w:rsidRPr="008016C9">
        <w:rPr>
          <w:rFonts w:ascii="Times New Roman" w:eastAsia="Times New Roman" w:hAnsi="Times New Roman" w:cs="Times New Roman"/>
          <w:b/>
          <w:bCs/>
          <w:kern w:val="0"/>
          <w:lang w:eastAsia="en-GB"/>
          <w14:ligatures w14:val="none"/>
        </w:rPr>
        <w:t>Modeling</w:t>
      </w:r>
      <w:proofErr w:type="spellEnd"/>
    </w:p>
    <w:p w14:paraId="7810F9B7"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We started with an existing 350mm cowl geometry and focused first on the </w:t>
      </w:r>
      <w:r w:rsidRPr="008016C9">
        <w:rPr>
          <w:rFonts w:ascii="Times New Roman" w:eastAsia="Times New Roman" w:hAnsi="Times New Roman" w:cs="Times New Roman"/>
          <w:b/>
          <w:bCs/>
          <w:kern w:val="0"/>
          <w:lang w:eastAsia="en-GB"/>
          <w14:ligatures w14:val="none"/>
        </w:rPr>
        <w:t>100mm outlet version (Unit 3)</w:t>
      </w:r>
      <w:r w:rsidRPr="008016C9">
        <w:rPr>
          <w:rFonts w:ascii="Times New Roman" w:eastAsia="Times New Roman" w:hAnsi="Times New Roman" w:cs="Times New Roman"/>
          <w:kern w:val="0"/>
          <w:lang w:eastAsia="en-GB"/>
          <w14:ligatures w14:val="none"/>
        </w:rPr>
        <w:t>. From there, other units were scaled proportionally, and geometric dependencies were established among the variables:</w:t>
      </w:r>
    </w:p>
    <w:p w14:paraId="3E48D206" w14:textId="77777777" w:rsidR="008016C9" w:rsidRPr="008016C9" w:rsidRDefault="008016C9" w:rsidP="008016C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Outlet opening diameter</w:t>
      </w:r>
    </w:p>
    <w:p w14:paraId="0AAE036E" w14:textId="77777777" w:rsidR="008016C9" w:rsidRPr="008016C9" w:rsidRDefault="008016C9" w:rsidP="008016C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Swirl chamber width</w:t>
      </w:r>
    </w:p>
    <w:p w14:paraId="50C63EDE" w14:textId="77777777" w:rsidR="008016C9" w:rsidRPr="008016C9" w:rsidRDefault="008016C9" w:rsidP="008016C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Inlet height</w:t>
      </w:r>
    </w:p>
    <w:p w14:paraId="6066B56B" w14:textId="77777777" w:rsidR="008016C9" w:rsidRPr="008016C9" w:rsidRDefault="008016C9" w:rsidP="008016C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Overall swirl diameter</w:t>
      </w:r>
    </w:p>
    <w:p w14:paraId="5F4AC3DA"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CFD simulations were carried out in ANSYS to replicate real flow </w:t>
      </w:r>
      <w:proofErr w:type="spellStart"/>
      <w:r w:rsidRPr="008016C9">
        <w:rPr>
          <w:rFonts w:ascii="Times New Roman" w:eastAsia="Times New Roman" w:hAnsi="Times New Roman" w:cs="Times New Roman"/>
          <w:kern w:val="0"/>
          <w:lang w:eastAsia="en-GB"/>
          <w14:ligatures w14:val="none"/>
        </w:rPr>
        <w:t>behavior</w:t>
      </w:r>
      <w:proofErr w:type="spellEnd"/>
      <w:r w:rsidRPr="008016C9">
        <w:rPr>
          <w:rFonts w:ascii="Times New Roman" w:eastAsia="Times New Roman" w:hAnsi="Times New Roman" w:cs="Times New Roman"/>
          <w:kern w:val="0"/>
          <w:lang w:eastAsia="en-GB"/>
          <w14:ligatures w14:val="none"/>
        </w:rPr>
        <w:t>. We monitored the formation of vortex patterns, pressure differentials, and flow regimes under various head conditions (0.1m to 2.5m).</w:t>
      </w:r>
    </w:p>
    <w:p w14:paraId="5248774F"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The resulting data allowed us to:</w:t>
      </w:r>
    </w:p>
    <w:p w14:paraId="4115E7DE" w14:textId="77777777" w:rsidR="008016C9" w:rsidRPr="008016C9" w:rsidRDefault="008016C9" w:rsidP="008016C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Optimize the </w:t>
      </w:r>
      <w:r w:rsidRPr="008016C9">
        <w:rPr>
          <w:rFonts w:ascii="Times New Roman" w:eastAsia="Times New Roman" w:hAnsi="Times New Roman" w:cs="Times New Roman"/>
          <w:b/>
          <w:bCs/>
          <w:kern w:val="0"/>
          <w:lang w:eastAsia="en-GB"/>
          <w14:ligatures w14:val="none"/>
        </w:rPr>
        <w:t>kickback point</w:t>
      </w:r>
      <w:r w:rsidRPr="008016C9">
        <w:rPr>
          <w:rFonts w:ascii="Times New Roman" w:eastAsia="Times New Roman" w:hAnsi="Times New Roman" w:cs="Times New Roman"/>
          <w:kern w:val="0"/>
          <w:lang w:eastAsia="en-GB"/>
          <w14:ligatures w14:val="none"/>
        </w:rPr>
        <w:t>, ensuring the flow throttles only at the precise design head.</w:t>
      </w:r>
    </w:p>
    <w:p w14:paraId="006D0525" w14:textId="77777777" w:rsidR="008016C9" w:rsidRPr="008016C9" w:rsidRDefault="008016C9" w:rsidP="008016C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Adjust “Area A” to maintain a vertical flow increase profile and avoid premature bypassing.</w:t>
      </w:r>
    </w:p>
    <w:p w14:paraId="716B1995" w14:textId="77777777" w:rsidR="008016C9" w:rsidRPr="008016C9" w:rsidRDefault="008016C9" w:rsidP="008016C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Establish a </w:t>
      </w:r>
      <w:r w:rsidRPr="008016C9">
        <w:rPr>
          <w:rFonts w:ascii="Times New Roman" w:eastAsia="Times New Roman" w:hAnsi="Times New Roman" w:cs="Times New Roman"/>
          <w:b/>
          <w:bCs/>
          <w:kern w:val="0"/>
          <w:lang w:eastAsia="en-GB"/>
          <w14:ligatures w14:val="none"/>
        </w:rPr>
        <w:t>buoyancy-driven emergency flushing mechanism</w:t>
      </w:r>
      <w:r w:rsidRPr="008016C9">
        <w:rPr>
          <w:rFonts w:ascii="Times New Roman" w:eastAsia="Times New Roman" w:hAnsi="Times New Roman" w:cs="Times New Roman"/>
          <w:kern w:val="0"/>
          <w:lang w:eastAsia="en-GB"/>
          <w14:ligatures w14:val="none"/>
        </w:rPr>
        <w:t xml:space="preserve"> that triggers when blockage threatens the main discharge, redirecting flow through a secondary path and clearing debris autonomously.</w:t>
      </w:r>
    </w:p>
    <w:p w14:paraId="34C14B5D" w14:textId="77777777" w:rsidR="008016C9" w:rsidRPr="008016C9" w:rsidRDefault="008016C9" w:rsidP="008016C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016C9">
        <w:rPr>
          <w:rFonts w:ascii="Times New Roman" w:eastAsia="Times New Roman" w:hAnsi="Times New Roman" w:cs="Times New Roman"/>
          <w:b/>
          <w:bCs/>
          <w:kern w:val="0"/>
          <w:lang w:eastAsia="en-GB"/>
          <w14:ligatures w14:val="none"/>
        </w:rPr>
        <w:t>Simulation Setup and Parameters</w:t>
      </w:r>
    </w:p>
    <w:p w14:paraId="7674F2E4"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The radial vortex unit was tested across various head values (from 0 to 2.5m) with fine mesh refinement and transient simulation. Key parameters:</w:t>
      </w:r>
    </w:p>
    <w:p w14:paraId="7F97194C" w14:textId="77777777" w:rsidR="008016C9" w:rsidRPr="008016C9" w:rsidRDefault="008016C9" w:rsidP="008016C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Design Head</w:t>
      </w:r>
      <w:r w:rsidRPr="008016C9">
        <w:rPr>
          <w:rFonts w:ascii="Times New Roman" w:eastAsia="Times New Roman" w:hAnsi="Times New Roman" w:cs="Times New Roman"/>
          <w:kern w:val="0"/>
          <w:lang w:eastAsia="en-GB"/>
          <w14:ligatures w14:val="none"/>
        </w:rPr>
        <w:t>: 0.77m</w:t>
      </w:r>
    </w:p>
    <w:p w14:paraId="62B27E34" w14:textId="77777777" w:rsidR="008016C9" w:rsidRPr="008016C9" w:rsidRDefault="008016C9" w:rsidP="008016C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Design Flow</w:t>
      </w:r>
      <w:r w:rsidRPr="008016C9">
        <w:rPr>
          <w:rFonts w:ascii="Times New Roman" w:eastAsia="Times New Roman" w:hAnsi="Times New Roman" w:cs="Times New Roman"/>
          <w:kern w:val="0"/>
          <w:lang w:eastAsia="en-GB"/>
          <w14:ligatures w14:val="none"/>
        </w:rPr>
        <w:t>: 235 L/s</w:t>
      </w:r>
    </w:p>
    <w:p w14:paraId="74A08BFF" w14:textId="77777777" w:rsidR="008016C9" w:rsidRPr="008016C9" w:rsidRDefault="008016C9" w:rsidP="008016C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Flushing Flow Requirement</w:t>
      </w:r>
      <w:r w:rsidRPr="008016C9">
        <w:rPr>
          <w:rFonts w:ascii="Times New Roman" w:eastAsia="Times New Roman" w:hAnsi="Times New Roman" w:cs="Times New Roman"/>
          <w:kern w:val="0"/>
          <w:lang w:eastAsia="en-GB"/>
          <w14:ligatures w14:val="none"/>
        </w:rPr>
        <w:t>: 180 L/s</w:t>
      </w:r>
    </w:p>
    <w:p w14:paraId="4E27A02F"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The simulations showed rapid vortex formation with well-developed air </w:t>
      </w:r>
      <w:proofErr w:type="spellStart"/>
      <w:r w:rsidRPr="008016C9">
        <w:rPr>
          <w:rFonts w:ascii="Times New Roman" w:eastAsia="Times New Roman" w:hAnsi="Times New Roman" w:cs="Times New Roman"/>
          <w:kern w:val="0"/>
          <w:lang w:eastAsia="en-GB"/>
          <w14:ligatures w14:val="none"/>
        </w:rPr>
        <w:t>cores</w:t>
      </w:r>
      <w:proofErr w:type="spellEnd"/>
      <w:r w:rsidRPr="008016C9">
        <w:rPr>
          <w:rFonts w:ascii="Times New Roman" w:eastAsia="Times New Roman" w:hAnsi="Times New Roman" w:cs="Times New Roman"/>
          <w:kern w:val="0"/>
          <w:lang w:eastAsia="en-GB"/>
          <w14:ligatures w14:val="none"/>
        </w:rPr>
        <w:t xml:space="preserve"> and high central backpressure. Flow visualization confirmed rotational symmetry, effective swirl generation, and minimal dead zones.</w:t>
      </w:r>
    </w:p>
    <w:p w14:paraId="6139104D" w14:textId="77777777" w:rsidR="008016C9" w:rsidRPr="008016C9" w:rsidRDefault="008016C9" w:rsidP="008016C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016C9">
        <w:rPr>
          <w:rFonts w:ascii="Times New Roman" w:eastAsia="Times New Roman" w:hAnsi="Times New Roman" w:cs="Times New Roman"/>
          <w:b/>
          <w:bCs/>
          <w:kern w:val="0"/>
          <w:lang w:eastAsia="en-GB"/>
          <w14:ligatures w14:val="none"/>
        </w:rPr>
        <w:t>Development of Predictive Tool</w:t>
      </w:r>
    </w:p>
    <w:p w14:paraId="65334305"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In parallel, we developed an </w:t>
      </w:r>
      <w:r w:rsidRPr="008016C9">
        <w:rPr>
          <w:rFonts w:ascii="Times New Roman" w:eastAsia="Times New Roman" w:hAnsi="Times New Roman" w:cs="Times New Roman"/>
          <w:b/>
          <w:bCs/>
          <w:kern w:val="0"/>
          <w:lang w:eastAsia="en-GB"/>
          <w14:ligatures w14:val="none"/>
        </w:rPr>
        <w:t>Excel-based simulation model</w:t>
      </w:r>
      <w:r w:rsidRPr="008016C9">
        <w:rPr>
          <w:rFonts w:ascii="Times New Roman" w:eastAsia="Times New Roman" w:hAnsi="Times New Roman" w:cs="Times New Roman"/>
          <w:kern w:val="0"/>
          <w:lang w:eastAsia="en-GB"/>
          <w14:ligatures w14:val="none"/>
        </w:rPr>
        <w:t xml:space="preserve"> using empirical correlations derived from CFD results. Users can input any design head and desired flow, and the tool automatically returns:</w:t>
      </w:r>
    </w:p>
    <w:p w14:paraId="7A9F09FA" w14:textId="77777777" w:rsidR="008016C9" w:rsidRPr="008016C9" w:rsidRDefault="008016C9" w:rsidP="008016C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Required </w:t>
      </w:r>
      <w:r w:rsidRPr="008016C9">
        <w:rPr>
          <w:rFonts w:ascii="Times New Roman" w:eastAsia="Times New Roman" w:hAnsi="Times New Roman" w:cs="Times New Roman"/>
          <w:b/>
          <w:bCs/>
          <w:kern w:val="0"/>
          <w:lang w:eastAsia="en-GB"/>
          <w14:ligatures w14:val="none"/>
        </w:rPr>
        <w:t>inlet size</w:t>
      </w:r>
    </w:p>
    <w:p w14:paraId="424EC2FE" w14:textId="77777777" w:rsidR="008016C9" w:rsidRPr="008016C9" w:rsidRDefault="008016C9" w:rsidP="008016C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Internal </w:t>
      </w:r>
      <w:r w:rsidRPr="008016C9">
        <w:rPr>
          <w:rFonts w:ascii="Times New Roman" w:eastAsia="Times New Roman" w:hAnsi="Times New Roman" w:cs="Times New Roman"/>
          <w:b/>
          <w:bCs/>
          <w:kern w:val="0"/>
          <w:lang w:eastAsia="en-GB"/>
          <w14:ligatures w14:val="none"/>
        </w:rPr>
        <w:t>orifice diameter</w:t>
      </w:r>
    </w:p>
    <w:p w14:paraId="629B57D3" w14:textId="77777777" w:rsidR="008016C9" w:rsidRPr="008016C9" w:rsidRDefault="008016C9" w:rsidP="008016C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Manufacturing specifications</w:t>
      </w:r>
    </w:p>
    <w:p w14:paraId="7C85136A" w14:textId="77777777" w:rsidR="008016C9" w:rsidRPr="008016C9" w:rsidRDefault="008016C9" w:rsidP="008016C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A </w:t>
      </w:r>
      <w:r w:rsidRPr="008016C9">
        <w:rPr>
          <w:rFonts w:ascii="Times New Roman" w:eastAsia="Times New Roman" w:hAnsi="Times New Roman" w:cs="Times New Roman"/>
          <w:b/>
          <w:bCs/>
          <w:kern w:val="0"/>
          <w:lang w:eastAsia="en-GB"/>
          <w14:ligatures w14:val="none"/>
        </w:rPr>
        <w:t>head–discharge curve</w:t>
      </w:r>
      <w:r w:rsidRPr="008016C9">
        <w:rPr>
          <w:rFonts w:ascii="Times New Roman" w:eastAsia="Times New Roman" w:hAnsi="Times New Roman" w:cs="Times New Roman"/>
          <w:kern w:val="0"/>
          <w:lang w:eastAsia="en-GB"/>
          <w14:ligatures w14:val="none"/>
        </w:rPr>
        <w:t xml:space="preserve"> (both graph and table)</w:t>
      </w:r>
    </w:p>
    <w:p w14:paraId="1846BA94" w14:textId="77777777" w:rsidR="008016C9" w:rsidRPr="008016C9" w:rsidRDefault="008016C9" w:rsidP="008016C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lastRenderedPageBreak/>
        <w:t>Minimum sump depth, pipe diameter, and clearance dimensions</w:t>
      </w:r>
    </w:p>
    <w:p w14:paraId="6C7076FC"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This tool ensures that future VFC designs can be generated and quoted quickly with simulation-backed accuracy.</w:t>
      </w:r>
    </w:p>
    <w:p w14:paraId="31919CBB"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pict w14:anchorId="7A011EF8">
          <v:rect id="_x0000_i1027" style="width:0;height:1.5pt" o:hralign="center" o:hrstd="t" o:hr="t" fillcolor="#a0a0a0" stroked="f"/>
        </w:pict>
      </w:r>
    </w:p>
    <w:p w14:paraId="3A367D16" w14:textId="7C3786D9" w:rsidR="008016C9" w:rsidRPr="008016C9" w:rsidRDefault="008016C9" w:rsidP="008016C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016C9">
        <w:rPr>
          <w:rFonts w:ascii="Times New Roman" w:eastAsia="Times New Roman" w:hAnsi="Times New Roman" w:cs="Times New Roman"/>
          <w:b/>
          <w:bCs/>
          <w:kern w:val="0"/>
          <w:sz w:val="27"/>
          <w:szCs w:val="27"/>
          <w:lang w:eastAsia="en-GB"/>
          <w14:ligatures w14:val="none"/>
        </w:rPr>
        <w:t>Results &amp; Benefits</w:t>
      </w:r>
    </w:p>
    <w:p w14:paraId="576995F3"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The simulations for the 114mm LR3 unit revealed impressive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122"/>
      </w:tblGrid>
      <w:tr w:rsidR="008016C9" w:rsidRPr="008016C9" w14:paraId="71B43105" w14:textId="77777777" w:rsidTr="008016C9">
        <w:trPr>
          <w:tblHeader/>
          <w:tblCellSpacing w:w="15" w:type="dxa"/>
        </w:trPr>
        <w:tc>
          <w:tcPr>
            <w:tcW w:w="0" w:type="auto"/>
            <w:vAlign w:val="center"/>
            <w:hideMark/>
          </w:tcPr>
          <w:p w14:paraId="08AA66C5" w14:textId="77777777" w:rsidR="008016C9" w:rsidRPr="008016C9" w:rsidRDefault="008016C9" w:rsidP="008016C9">
            <w:pPr>
              <w:spacing w:after="0" w:line="240" w:lineRule="auto"/>
              <w:jc w:val="center"/>
              <w:rPr>
                <w:rFonts w:ascii="Times New Roman" w:eastAsia="Times New Roman" w:hAnsi="Times New Roman" w:cs="Times New Roman"/>
                <w:b/>
                <w:bCs/>
                <w:kern w:val="0"/>
                <w:lang w:eastAsia="en-GB"/>
                <w14:ligatures w14:val="none"/>
              </w:rPr>
            </w:pPr>
            <w:r w:rsidRPr="008016C9">
              <w:rPr>
                <w:rFonts w:ascii="Times New Roman" w:eastAsia="Times New Roman" w:hAnsi="Times New Roman" w:cs="Times New Roman"/>
                <w:b/>
                <w:bCs/>
                <w:kern w:val="0"/>
                <w:lang w:eastAsia="en-GB"/>
                <w14:ligatures w14:val="none"/>
              </w:rPr>
              <w:t>Head (m)</w:t>
            </w:r>
          </w:p>
        </w:tc>
        <w:tc>
          <w:tcPr>
            <w:tcW w:w="0" w:type="auto"/>
            <w:vAlign w:val="center"/>
            <w:hideMark/>
          </w:tcPr>
          <w:p w14:paraId="0C353EBB" w14:textId="77777777" w:rsidR="008016C9" w:rsidRPr="008016C9" w:rsidRDefault="008016C9" w:rsidP="008016C9">
            <w:pPr>
              <w:spacing w:after="0" w:line="240" w:lineRule="auto"/>
              <w:jc w:val="center"/>
              <w:rPr>
                <w:rFonts w:ascii="Times New Roman" w:eastAsia="Times New Roman" w:hAnsi="Times New Roman" w:cs="Times New Roman"/>
                <w:b/>
                <w:bCs/>
                <w:kern w:val="0"/>
                <w:lang w:eastAsia="en-GB"/>
                <w14:ligatures w14:val="none"/>
              </w:rPr>
            </w:pPr>
            <w:r w:rsidRPr="008016C9">
              <w:rPr>
                <w:rFonts w:ascii="Times New Roman" w:eastAsia="Times New Roman" w:hAnsi="Times New Roman" w:cs="Times New Roman"/>
                <w:b/>
                <w:bCs/>
                <w:kern w:val="0"/>
                <w:lang w:eastAsia="en-GB"/>
                <w14:ligatures w14:val="none"/>
              </w:rPr>
              <w:t>Flow (L/s)</w:t>
            </w:r>
          </w:p>
        </w:tc>
      </w:tr>
      <w:tr w:rsidR="008016C9" w:rsidRPr="008016C9" w14:paraId="16911977" w14:textId="77777777" w:rsidTr="008016C9">
        <w:trPr>
          <w:tblCellSpacing w:w="15" w:type="dxa"/>
        </w:trPr>
        <w:tc>
          <w:tcPr>
            <w:tcW w:w="0" w:type="auto"/>
            <w:vAlign w:val="center"/>
            <w:hideMark/>
          </w:tcPr>
          <w:p w14:paraId="28C989A6"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0.1</w:t>
            </w:r>
          </w:p>
        </w:tc>
        <w:tc>
          <w:tcPr>
            <w:tcW w:w="0" w:type="auto"/>
            <w:vAlign w:val="center"/>
            <w:hideMark/>
          </w:tcPr>
          <w:p w14:paraId="56B27075"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35.374</w:t>
            </w:r>
          </w:p>
        </w:tc>
      </w:tr>
      <w:tr w:rsidR="008016C9" w:rsidRPr="008016C9" w14:paraId="15311A96" w14:textId="77777777" w:rsidTr="008016C9">
        <w:trPr>
          <w:tblCellSpacing w:w="15" w:type="dxa"/>
        </w:trPr>
        <w:tc>
          <w:tcPr>
            <w:tcW w:w="0" w:type="auto"/>
            <w:vAlign w:val="center"/>
            <w:hideMark/>
          </w:tcPr>
          <w:p w14:paraId="578A9F5B"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0.5</w:t>
            </w:r>
          </w:p>
        </w:tc>
        <w:tc>
          <w:tcPr>
            <w:tcW w:w="0" w:type="auto"/>
            <w:vAlign w:val="center"/>
            <w:hideMark/>
          </w:tcPr>
          <w:p w14:paraId="7C103794"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178.576</w:t>
            </w:r>
          </w:p>
        </w:tc>
      </w:tr>
      <w:tr w:rsidR="008016C9" w:rsidRPr="008016C9" w14:paraId="01970B68" w14:textId="77777777" w:rsidTr="008016C9">
        <w:trPr>
          <w:tblCellSpacing w:w="15" w:type="dxa"/>
        </w:trPr>
        <w:tc>
          <w:tcPr>
            <w:tcW w:w="0" w:type="auto"/>
            <w:vAlign w:val="center"/>
            <w:hideMark/>
          </w:tcPr>
          <w:p w14:paraId="17D59CAD"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1.0</w:t>
            </w:r>
          </w:p>
        </w:tc>
        <w:tc>
          <w:tcPr>
            <w:tcW w:w="0" w:type="auto"/>
            <w:vAlign w:val="center"/>
            <w:hideMark/>
          </w:tcPr>
          <w:p w14:paraId="78E84474"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295.748</w:t>
            </w:r>
          </w:p>
        </w:tc>
      </w:tr>
      <w:tr w:rsidR="008016C9" w:rsidRPr="008016C9" w14:paraId="7EDE231B" w14:textId="77777777" w:rsidTr="008016C9">
        <w:trPr>
          <w:tblCellSpacing w:w="15" w:type="dxa"/>
        </w:trPr>
        <w:tc>
          <w:tcPr>
            <w:tcW w:w="0" w:type="auto"/>
            <w:vAlign w:val="center"/>
            <w:hideMark/>
          </w:tcPr>
          <w:p w14:paraId="1A9D529A"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1.5</w:t>
            </w:r>
          </w:p>
        </w:tc>
        <w:tc>
          <w:tcPr>
            <w:tcW w:w="0" w:type="auto"/>
            <w:vAlign w:val="center"/>
            <w:hideMark/>
          </w:tcPr>
          <w:p w14:paraId="20768BCE"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363.732</w:t>
            </w:r>
          </w:p>
        </w:tc>
      </w:tr>
      <w:tr w:rsidR="008016C9" w:rsidRPr="008016C9" w14:paraId="2247EA42" w14:textId="77777777" w:rsidTr="008016C9">
        <w:trPr>
          <w:tblCellSpacing w:w="15" w:type="dxa"/>
        </w:trPr>
        <w:tc>
          <w:tcPr>
            <w:tcW w:w="0" w:type="auto"/>
            <w:vAlign w:val="center"/>
            <w:hideMark/>
          </w:tcPr>
          <w:p w14:paraId="2AF5AD05"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2.5</w:t>
            </w:r>
          </w:p>
        </w:tc>
        <w:tc>
          <w:tcPr>
            <w:tcW w:w="0" w:type="auto"/>
            <w:vAlign w:val="center"/>
            <w:hideMark/>
          </w:tcPr>
          <w:p w14:paraId="2DFB71C2"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504.908</w:t>
            </w:r>
          </w:p>
        </w:tc>
      </w:tr>
    </w:tbl>
    <w:p w14:paraId="3BF2A418"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Key outcomes:</w:t>
      </w:r>
    </w:p>
    <w:p w14:paraId="668DF672" w14:textId="77777777" w:rsidR="008016C9" w:rsidRPr="008016C9" w:rsidRDefault="008016C9" w:rsidP="008016C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Flow control exceeded expectations</w:t>
      </w:r>
      <w:r w:rsidRPr="008016C9">
        <w:rPr>
          <w:rFonts w:ascii="Times New Roman" w:eastAsia="Times New Roman" w:hAnsi="Times New Roman" w:cs="Times New Roman"/>
          <w:kern w:val="0"/>
          <w:lang w:eastAsia="en-GB"/>
          <w14:ligatures w14:val="none"/>
        </w:rPr>
        <w:t>, with a flushing flow 2–4× greater than minimum required, enabling rapid clearance of debris.</w:t>
      </w:r>
    </w:p>
    <w:p w14:paraId="6F34696C" w14:textId="77777777" w:rsidR="008016C9" w:rsidRPr="008016C9" w:rsidRDefault="008016C9" w:rsidP="008016C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The </w:t>
      </w:r>
      <w:r w:rsidRPr="008016C9">
        <w:rPr>
          <w:rFonts w:ascii="Times New Roman" w:eastAsia="Times New Roman" w:hAnsi="Times New Roman" w:cs="Times New Roman"/>
          <w:b/>
          <w:bCs/>
          <w:kern w:val="0"/>
          <w:lang w:eastAsia="en-GB"/>
          <w14:ligatures w14:val="none"/>
        </w:rPr>
        <w:t>emergency door system</w:t>
      </w:r>
      <w:r w:rsidRPr="008016C9">
        <w:rPr>
          <w:rFonts w:ascii="Times New Roman" w:eastAsia="Times New Roman" w:hAnsi="Times New Roman" w:cs="Times New Roman"/>
          <w:kern w:val="0"/>
          <w:lang w:eastAsia="en-GB"/>
          <w14:ligatures w14:val="none"/>
        </w:rPr>
        <w:t xml:space="preserve"> worked reliably, driven by buoyancy—not mechanical force—allowing for effective system reset and maintenance-free operation.</w:t>
      </w:r>
    </w:p>
    <w:p w14:paraId="48BD57A9" w14:textId="77777777" w:rsidR="008016C9" w:rsidRPr="008016C9" w:rsidRDefault="008016C9" w:rsidP="008016C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Flow curves were </w:t>
      </w:r>
      <w:r w:rsidRPr="008016C9">
        <w:rPr>
          <w:rFonts w:ascii="Times New Roman" w:eastAsia="Times New Roman" w:hAnsi="Times New Roman" w:cs="Times New Roman"/>
          <w:b/>
          <w:bCs/>
          <w:kern w:val="0"/>
          <w:lang w:eastAsia="en-GB"/>
          <w14:ligatures w14:val="none"/>
        </w:rPr>
        <w:t>smooth, consistent, and scalable</w:t>
      </w:r>
      <w:r w:rsidRPr="008016C9">
        <w:rPr>
          <w:rFonts w:ascii="Times New Roman" w:eastAsia="Times New Roman" w:hAnsi="Times New Roman" w:cs="Times New Roman"/>
          <w:kern w:val="0"/>
          <w:lang w:eastAsia="en-GB"/>
          <w14:ligatures w14:val="none"/>
        </w:rPr>
        <w:t xml:space="preserve"> across all </w:t>
      </w:r>
      <w:proofErr w:type="gramStart"/>
      <w:r w:rsidRPr="008016C9">
        <w:rPr>
          <w:rFonts w:ascii="Times New Roman" w:eastAsia="Times New Roman" w:hAnsi="Times New Roman" w:cs="Times New Roman"/>
          <w:kern w:val="0"/>
          <w:lang w:eastAsia="en-GB"/>
          <w14:ligatures w14:val="none"/>
        </w:rPr>
        <w:t>five unit</w:t>
      </w:r>
      <w:proofErr w:type="gramEnd"/>
      <w:r w:rsidRPr="008016C9">
        <w:rPr>
          <w:rFonts w:ascii="Times New Roman" w:eastAsia="Times New Roman" w:hAnsi="Times New Roman" w:cs="Times New Roman"/>
          <w:kern w:val="0"/>
          <w:lang w:eastAsia="en-GB"/>
          <w14:ligatures w14:val="none"/>
        </w:rPr>
        <w:t xml:space="preserve"> sizes.</w:t>
      </w:r>
    </w:p>
    <w:p w14:paraId="22D8B8F3" w14:textId="77777777" w:rsidR="008016C9" w:rsidRPr="008016C9" w:rsidRDefault="008016C9" w:rsidP="008016C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Blockage risk was minimized through:</w:t>
      </w:r>
    </w:p>
    <w:p w14:paraId="6F3C11D9" w14:textId="77777777" w:rsidR="008016C9" w:rsidRPr="008016C9" w:rsidRDefault="008016C9" w:rsidP="008016C9">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Larger openings vs traditional orifices</w:t>
      </w:r>
    </w:p>
    <w:p w14:paraId="6E85AE49" w14:textId="77777777" w:rsidR="008016C9" w:rsidRPr="008016C9" w:rsidRDefault="008016C9" w:rsidP="008016C9">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Vortex-powered self-flushing</w:t>
      </w:r>
    </w:p>
    <w:p w14:paraId="197C1B7C" w14:textId="77777777" w:rsidR="008016C9" w:rsidRPr="008016C9" w:rsidRDefault="008016C9" w:rsidP="008016C9">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Emergency bypass with re-circulating vortex creation</w:t>
      </w:r>
    </w:p>
    <w:p w14:paraId="49372C5A"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Installation and maintenance considerations were also integrated:</w:t>
      </w:r>
    </w:p>
    <w:p w14:paraId="64AD5D66" w14:textId="77777777" w:rsidR="008016C9" w:rsidRPr="008016C9" w:rsidRDefault="008016C9" w:rsidP="008016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Custom-fit unit housings</w:t>
      </w:r>
    </w:p>
    <w:p w14:paraId="69E4F0B0" w14:textId="77777777" w:rsidR="008016C9" w:rsidRPr="008016C9" w:rsidRDefault="008016C9" w:rsidP="008016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No need for moving components</w:t>
      </w:r>
    </w:p>
    <w:p w14:paraId="0EF27997" w14:textId="77777777" w:rsidR="008016C9" w:rsidRPr="008016C9" w:rsidRDefault="008016C9" w:rsidP="008016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Easy access via standard rodding points</w:t>
      </w:r>
    </w:p>
    <w:p w14:paraId="072F4DAE" w14:textId="77777777" w:rsidR="008016C9" w:rsidRPr="008016C9" w:rsidRDefault="008016C9" w:rsidP="008016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b/>
          <w:bCs/>
          <w:kern w:val="0"/>
          <w:lang w:eastAsia="en-GB"/>
          <w14:ligatures w14:val="none"/>
        </w:rPr>
        <w:t>316L stainless steel</w:t>
      </w:r>
      <w:r w:rsidRPr="008016C9">
        <w:rPr>
          <w:rFonts w:ascii="Times New Roman" w:eastAsia="Times New Roman" w:hAnsi="Times New Roman" w:cs="Times New Roman"/>
          <w:kern w:val="0"/>
          <w:lang w:eastAsia="en-GB"/>
          <w14:ligatures w14:val="none"/>
        </w:rPr>
        <w:t xml:space="preserve"> for durability against chemical and abrasion wear</w:t>
      </w:r>
    </w:p>
    <w:p w14:paraId="3CC3CC0D" w14:textId="77777777" w:rsidR="008016C9" w:rsidRPr="008016C9" w:rsidRDefault="008016C9" w:rsidP="008016C9">
      <w:pPr>
        <w:spacing w:after="0"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pict w14:anchorId="180E06C8">
          <v:rect id="_x0000_i1028" style="width:0;height:1.5pt" o:hralign="center" o:hrstd="t" o:hr="t" fillcolor="#a0a0a0" stroked="f"/>
        </w:pict>
      </w:r>
    </w:p>
    <w:p w14:paraId="3E77DF45" w14:textId="036A073D" w:rsidR="008016C9" w:rsidRPr="008016C9" w:rsidRDefault="008016C9" w:rsidP="008016C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016C9">
        <w:rPr>
          <w:rFonts w:ascii="Times New Roman" w:eastAsia="Times New Roman" w:hAnsi="Times New Roman" w:cs="Times New Roman"/>
          <w:b/>
          <w:bCs/>
          <w:kern w:val="0"/>
          <w:sz w:val="27"/>
          <w:szCs w:val="27"/>
          <w:lang w:eastAsia="en-GB"/>
          <w14:ligatures w14:val="none"/>
        </w:rPr>
        <w:t>Conclusion</w:t>
      </w:r>
    </w:p>
    <w:p w14:paraId="17BD3E06"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 xml:space="preserve">This project with </w:t>
      </w:r>
      <w:proofErr w:type="spellStart"/>
      <w:r w:rsidRPr="008016C9">
        <w:rPr>
          <w:rFonts w:ascii="Times New Roman" w:eastAsia="Times New Roman" w:hAnsi="Times New Roman" w:cs="Times New Roman"/>
          <w:kern w:val="0"/>
          <w:lang w:eastAsia="en-GB"/>
          <w14:ligatures w14:val="none"/>
        </w:rPr>
        <w:t>SuDS</w:t>
      </w:r>
      <w:proofErr w:type="spellEnd"/>
      <w:r w:rsidRPr="008016C9">
        <w:rPr>
          <w:rFonts w:ascii="Times New Roman" w:eastAsia="Times New Roman" w:hAnsi="Times New Roman" w:cs="Times New Roman"/>
          <w:kern w:val="0"/>
          <w:lang w:eastAsia="en-GB"/>
          <w14:ligatures w14:val="none"/>
        </w:rPr>
        <w:t xml:space="preserve"> Enviro Ltd demonstrates how </w:t>
      </w:r>
      <w:r w:rsidRPr="008016C9">
        <w:rPr>
          <w:rFonts w:ascii="Times New Roman" w:eastAsia="Times New Roman" w:hAnsi="Times New Roman" w:cs="Times New Roman"/>
          <w:b/>
          <w:bCs/>
          <w:kern w:val="0"/>
          <w:lang w:eastAsia="en-GB"/>
          <w14:ligatures w14:val="none"/>
        </w:rPr>
        <w:t xml:space="preserve">computational fluid dynamics and parametric </w:t>
      </w:r>
      <w:proofErr w:type="spellStart"/>
      <w:r w:rsidRPr="008016C9">
        <w:rPr>
          <w:rFonts w:ascii="Times New Roman" w:eastAsia="Times New Roman" w:hAnsi="Times New Roman" w:cs="Times New Roman"/>
          <w:b/>
          <w:bCs/>
          <w:kern w:val="0"/>
          <w:lang w:eastAsia="en-GB"/>
          <w14:ligatures w14:val="none"/>
        </w:rPr>
        <w:t>modeling</w:t>
      </w:r>
      <w:proofErr w:type="spellEnd"/>
      <w:r w:rsidRPr="008016C9">
        <w:rPr>
          <w:rFonts w:ascii="Times New Roman" w:eastAsia="Times New Roman" w:hAnsi="Times New Roman" w:cs="Times New Roman"/>
          <w:kern w:val="0"/>
          <w:lang w:eastAsia="en-GB"/>
          <w14:ligatures w14:val="none"/>
        </w:rPr>
        <w:t xml:space="preserve"> can transform product development in stormwater engineering. The LR3 series of Radial Vortex Flow Controls are now equipped with:</w:t>
      </w:r>
    </w:p>
    <w:p w14:paraId="52012B7E" w14:textId="77777777" w:rsidR="008016C9" w:rsidRPr="008016C9" w:rsidRDefault="008016C9" w:rsidP="008016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A validated and optimized geometric design</w:t>
      </w:r>
    </w:p>
    <w:p w14:paraId="11EE6D46" w14:textId="77777777" w:rsidR="008016C9" w:rsidRPr="008016C9" w:rsidRDefault="008016C9" w:rsidP="008016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Reliable throttling across a wide head range</w:t>
      </w:r>
    </w:p>
    <w:p w14:paraId="02E2CA82" w14:textId="77777777" w:rsidR="008016C9" w:rsidRPr="008016C9" w:rsidRDefault="008016C9" w:rsidP="008016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Self-maintaining flow characteristics</w:t>
      </w:r>
    </w:p>
    <w:p w14:paraId="517F99EB" w14:textId="77777777" w:rsidR="008016C9" w:rsidRPr="008016C9" w:rsidRDefault="008016C9" w:rsidP="008016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lastRenderedPageBreak/>
        <w:t>A user-friendly Excel tool for design and quoting</w:t>
      </w:r>
    </w:p>
    <w:p w14:paraId="2740AB29"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We’ve not only delivered a high-performing device family but also empowered the client with a repeatable design and quoting system for future applications.</w:t>
      </w:r>
    </w:p>
    <w:p w14:paraId="76F305C1" w14:textId="77777777" w:rsidR="008016C9" w:rsidRPr="008016C9" w:rsidRDefault="008016C9" w:rsidP="008016C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16C9">
        <w:rPr>
          <w:rFonts w:ascii="Times New Roman" w:eastAsia="Times New Roman" w:hAnsi="Times New Roman" w:cs="Times New Roman"/>
          <w:kern w:val="0"/>
          <w:lang w:eastAsia="en-GB"/>
          <w14:ligatures w14:val="none"/>
        </w:rPr>
        <w:t>The system is now ready for production and has been successfully validated against both performance benchmarks and practical deployment constraints. Next steps include physical prototyping, field testing, and scaling for additional head/flow combinations.</w:t>
      </w:r>
    </w:p>
    <w:p w14:paraId="5AB62D6E" w14:textId="77777777" w:rsidR="005B1B12" w:rsidRDefault="005B1B12"/>
    <w:sectPr w:rsidR="005B1B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4A6F"/>
    <w:multiLevelType w:val="multilevel"/>
    <w:tmpl w:val="A59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A14FC"/>
    <w:multiLevelType w:val="multilevel"/>
    <w:tmpl w:val="8C22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00127"/>
    <w:multiLevelType w:val="multilevel"/>
    <w:tmpl w:val="EC8C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70691"/>
    <w:multiLevelType w:val="multilevel"/>
    <w:tmpl w:val="3E2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41EC4"/>
    <w:multiLevelType w:val="multilevel"/>
    <w:tmpl w:val="DA5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905E8"/>
    <w:multiLevelType w:val="multilevel"/>
    <w:tmpl w:val="728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579C5"/>
    <w:multiLevelType w:val="hybridMultilevel"/>
    <w:tmpl w:val="8996B7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AA7A65"/>
    <w:multiLevelType w:val="multilevel"/>
    <w:tmpl w:val="A27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A12EA"/>
    <w:multiLevelType w:val="multilevel"/>
    <w:tmpl w:val="8354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310BD"/>
    <w:multiLevelType w:val="multilevel"/>
    <w:tmpl w:val="B19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F545F"/>
    <w:multiLevelType w:val="multilevel"/>
    <w:tmpl w:val="27E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33404">
    <w:abstractNumId w:val="8"/>
  </w:num>
  <w:num w:numId="2" w16cid:durableId="1169520766">
    <w:abstractNumId w:val="0"/>
  </w:num>
  <w:num w:numId="3" w16cid:durableId="626200628">
    <w:abstractNumId w:val="3"/>
  </w:num>
  <w:num w:numId="4" w16cid:durableId="154149188">
    <w:abstractNumId w:val="4"/>
  </w:num>
  <w:num w:numId="5" w16cid:durableId="585116353">
    <w:abstractNumId w:val="7"/>
  </w:num>
  <w:num w:numId="6" w16cid:durableId="991837671">
    <w:abstractNumId w:val="9"/>
  </w:num>
  <w:num w:numId="7" w16cid:durableId="1369719047">
    <w:abstractNumId w:val="10"/>
  </w:num>
  <w:num w:numId="8" w16cid:durableId="12459302">
    <w:abstractNumId w:val="2"/>
  </w:num>
  <w:num w:numId="9" w16cid:durableId="1768427898">
    <w:abstractNumId w:val="5"/>
  </w:num>
  <w:num w:numId="10" w16cid:durableId="1531576925">
    <w:abstractNumId w:val="1"/>
  </w:num>
  <w:num w:numId="11" w16cid:durableId="63988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1C71"/>
    <w:rsid w:val="005B1B12"/>
    <w:rsid w:val="008016C9"/>
    <w:rsid w:val="00CB03B1"/>
    <w:rsid w:val="00F91C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0727"/>
  <w15:chartTrackingRefBased/>
  <w15:docId w15:val="{5FFF8FF1-3554-4045-8E04-7B951BCD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C71"/>
    <w:rPr>
      <w:rFonts w:eastAsiaTheme="majorEastAsia" w:cstheme="majorBidi"/>
      <w:color w:val="272727" w:themeColor="text1" w:themeTint="D8"/>
    </w:rPr>
  </w:style>
  <w:style w:type="paragraph" w:styleId="Title">
    <w:name w:val="Title"/>
    <w:basedOn w:val="Normal"/>
    <w:next w:val="Normal"/>
    <w:link w:val="TitleChar"/>
    <w:uiPriority w:val="10"/>
    <w:qFormat/>
    <w:rsid w:val="00F9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C71"/>
    <w:pPr>
      <w:spacing w:before="160"/>
      <w:jc w:val="center"/>
    </w:pPr>
    <w:rPr>
      <w:i/>
      <w:iCs/>
      <w:color w:val="404040" w:themeColor="text1" w:themeTint="BF"/>
    </w:rPr>
  </w:style>
  <w:style w:type="character" w:customStyle="1" w:styleId="QuoteChar">
    <w:name w:val="Quote Char"/>
    <w:basedOn w:val="DefaultParagraphFont"/>
    <w:link w:val="Quote"/>
    <w:uiPriority w:val="29"/>
    <w:rsid w:val="00F91C71"/>
    <w:rPr>
      <w:i/>
      <w:iCs/>
      <w:color w:val="404040" w:themeColor="text1" w:themeTint="BF"/>
    </w:rPr>
  </w:style>
  <w:style w:type="paragraph" w:styleId="ListParagraph">
    <w:name w:val="List Paragraph"/>
    <w:basedOn w:val="Normal"/>
    <w:uiPriority w:val="34"/>
    <w:qFormat/>
    <w:rsid w:val="00F91C71"/>
    <w:pPr>
      <w:ind w:left="720"/>
      <w:contextualSpacing/>
    </w:pPr>
  </w:style>
  <w:style w:type="character" w:styleId="IntenseEmphasis">
    <w:name w:val="Intense Emphasis"/>
    <w:basedOn w:val="DefaultParagraphFont"/>
    <w:uiPriority w:val="21"/>
    <w:qFormat/>
    <w:rsid w:val="00F91C71"/>
    <w:rPr>
      <w:i/>
      <w:iCs/>
      <w:color w:val="0F4761" w:themeColor="accent1" w:themeShade="BF"/>
    </w:rPr>
  </w:style>
  <w:style w:type="paragraph" w:styleId="IntenseQuote">
    <w:name w:val="Intense Quote"/>
    <w:basedOn w:val="Normal"/>
    <w:next w:val="Normal"/>
    <w:link w:val="IntenseQuoteChar"/>
    <w:uiPriority w:val="30"/>
    <w:qFormat/>
    <w:rsid w:val="00F91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C71"/>
    <w:rPr>
      <w:i/>
      <w:iCs/>
      <w:color w:val="0F4761" w:themeColor="accent1" w:themeShade="BF"/>
    </w:rPr>
  </w:style>
  <w:style w:type="character" w:styleId="IntenseReference">
    <w:name w:val="Intense Reference"/>
    <w:basedOn w:val="DefaultParagraphFont"/>
    <w:uiPriority w:val="32"/>
    <w:qFormat/>
    <w:rsid w:val="00F91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775202">
      <w:bodyDiv w:val="1"/>
      <w:marLeft w:val="0"/>
      <w:marRight w:val="0"/>
      <w:marTop w:val="0"/>
      <w:marBottom w:val="0"/>
      <w:divBdr>
        <w:top w:val="none" w:sz="0" w:space="0" w:color="auto"/>
        <w:left w:val="none" w:sz="0" w:space="0" w:color="auto"/>
        <w:bottom w:val="none" w:sz="0" w:space="0" w:color="auto"/>
        <w:right w:val="none" w:sz="0" w:space="0" w:color="auto"/>
      </w:divBdr>
      <w:divsChild>
        <w:div w:id="485514255">
          <w:marLeft w:val="0"/>
          <w:marRight w:val="0"/>
          <w:marTop w:val="0"/>
          <w:marBottom w:val="0"/>
          <w:divBdr>
            <w:top w:val="none" w:sz="0" w:space="0" w:color="auto"/>
            <w:left w:val="none" w:sz="0" w:space="0" w:color="auto"/>
            <w:bottom w:val="none" w:sz="0" w:space="0" w:color="auto"/>
            <w:right w:val="none" w:sz="0" w:space="0" w:color="auto"/>
          </w:divBdr>
          <w:divsChild>
            <w:div w:id="21448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Muhammad Adnan Wattoo</dc:creator>
  <cp:keywords/>
  <dc:description/>
  <cp:lastModifiedBy>Engr. Muhammad Adnan Wattoo</cp:lastModifiedBy>
  <cp:revision>2</cp:revision>
  <dcterms:created xsi:type="dcterms:W3CDTF">2025-07-18T13:49:00Z</dcterms:created>
  <dcterms:modified xsi:type="dcterms:W3CDTF">2025-07-18T13:54:00Z</dcterms:modified>
</cp:coreProperties>
</file>