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영상-텍스트 결합 모델의 한국어 OOD 견고성 분석 및 도메인 적응</w:t>
      </w:r>
    </w:p>
    <w:p>
      <w:pPr>
        <w:pStyle w:val="Heading2"/>
      </w:pPr>
      <w:r>
        <w:t>1. 연구 개요</w:t>
      </w:r>
    </w:p>
    <w:p>
      <w:r>
        <w:t>다국어 멀티모달 모델은 영문 벤치마크에서는 우수하나, 한국어 입력의 분포 외 (out-of-distribution; OOD) 케이스에서는 정확도 저하가 두드러진다. 본 연구는 한국어 OOD 벤치마크를 5,000→20,000샘플로 확장하고, 4종 멀티모달 모델 패밀리에 대해 도메인 적응 기법(가중치 fine-tune·prompt tuning·adapter)을 비교 분석한다. 최종 산출물로 한국어 멀티모달 평가 표준을 제안한다.</w:t>
      </w:r>
    </w:p>
    <w:p>
      <w:pPr>
        <w:pStyle w:val="Heading2"/>
      </w:pPr>
      <w:r>
        <w:t>2. 예산 계획 (단위: 만원)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  <w:tc>
          <w:tcPr>
            <w:tcW w:type="dxa" w:w="2880"/>
          </w:tcPr>
          <w:p>
            <w:r>
              <w:t>사용 사유</w:t>
            </w:r>
          </w:p>
        </w:tc>
      </w:tr>
      <w:tr>
        <w:tc>
          <w:tcPr>
            <w:tcW w:type="dxa" w:w="2880"/>
          </w:tcPr>
          <w:p>
            <w:r>
              <w:t>인건비 (석사 연구원)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  <w:tc>
          <w:tcPr>
            <w:tcW w:type="dxa" w:w="2880"/>
          </w:tcPr>
          <w:p>
            <w:r>
              <w:t>월 150만원 × 12개월</w:t>
            </w:r>
          </w:p>
        </w:tc>
      </w:tr>
      <w:tr>
        <w:tc>
          <w:tcPr>
            <w:tcW w:type="dxa" w:w="2880"/>
          </w:tcPr>
          <w:p>
            <w:r>
              <w:t>데이터 라벨링 / 검수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한국어 OOD 15,000샘플 추가</w:t>
            </w:r>
          </w:p>
        </w:tc>
      </w:tr>
      <w:tr>
        <w:tc>
          <w:tcPr>
            <w:tcW w:type="dxa" w:w="2880"/>
          </w:tcPr>
          <w:p>
            <w:r>
              <w:t>GPU / 클라우드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A100 8-way × 2,000시간</w:t>
            </w:r>
          </w:p>
        </w:tc>
      </w:tr>
      <w:tr>
        <w:tc>
          <w:tcPr>
            <w:tcW w:type="dxa" w:w="2880"/>
          </w:tcPr>
          <w:p>
            <w:r>
              <w:t>국제 학회 출장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NeurIPS / CVPR 발표 비용</w:t>
            </w:r>
          </w:p>
        </w:tc>
      </w:tr>
      <w:tr>
        <w:tc>
          <w:tcPr>
            <w:tcW w:type="dxa" w:w="2880"/>
          </w:tcPr>
          <w:p>
            <w:r>
              <w:t>도메인 적응 라이선스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어댑터 라이브러리 / 평가 도구</w:t>
            </w:r>
          </w:p>
        </w:tc>
      </w:tr>
      <w:tr>
        <w:tc>
          <w:tcPr>
            <w:tcW w:type="dxa" w:w="2880"/>
          </w:tcPr>
          <w:p>
            <w:r>
              <w:t>총계</w:t>
            </w:r>
          </w:p>
        </w:tc>
        <w:tc>
          <w:tcPr>
            <w:tcW w:type="dxa" w:w="2880"/>
          </w:tcPr>
          <w:p>
            <w:r>
              <w:t>4,300</w:t>
            </w:r>
          </w:p>
        </w:tc>
        <w:tc>
          <w:tcPr>
            <w:tcW w:type="dxa" w:w="2880"/>
          </w:tcPr>
          <w:p>
            <w:r>
              <w:t>1년차 예산</w:t>
            </w:r>
          </w:p>
        </w:tc>
      </w:tr>
    </w:tbl>
    <w:p>
      <w:pPr>
        <w:pStyle w:val="Heading2"/>
      </w:pPr>
      <w:r>
        <w:t>3. 추진 일정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분기</w:t>
            </w:r>
          </w:p>
        </w:tc>
        <w:tc>
          <w:tcPr>
            <w:tcW w:type="dxa" w:w="2880"/>
          </w:tcPr>
          <w:p>
            <w:r>
              <w:t>마일스톤</w:t>
            </w:r>
          </w:p>
        </w:tc>
        <w:tc>
          <w:tcPr>
            <w:tcW w:type="dxa" w:w="2880"/>
          </w:tcPr>
          <w:p>
            <w:r>
              <w:t>산출물</w:t>
            </w:r>
          </w:p>
        </w:tc>
      </w:tr>
      <w:tr>
        <w:tc>
          <w:tcPr>
            <w:tcW w:type="dxa" w:w="2880"/>
          </w:tcPr>
          <w:p>
            <w:r>
              <w:t>1분기</w:t>
            </w:r>
          </w:p>
        </w:tc>
        <w:tc>
          <w:tcPr>
            <w:tcW w:type="dxa" w:w="2880"/>
          </w:tcPr>
          <w:p>
            <w:r>
              <w:t>OOD 벤치마크 확장</w:t>
            </w:r>
          </w:p>
        </w:tc>
        <w:tc>
          <w:tcPr>
            <w:tcW w:type="dxa" w:w="2880"/>
          </w:tcPr>
          <w:p>
            <w:r>
              <w:t>한국어 20,000샘플 v2</w:t>
            </w:r>
          </w:p>
        </w:tc>
      </w:tr>
      <w:tr>
        <w:tc>
          <w:tcPr>
            <w:tcW w:type="dxa" w:w="2880"/>
          </w:tcPr>
          <w:p>
            <w:r>
              <w:t>2분기</w:t>
            </w:r>
          </w:p>
        </w:tc>
        <w:tc>
          <w:tcPr>
            <w:tcW w:type="dxa" w:w="2880"/>
          </w:tcPr>
          <w:p>
            <w:r>
              <w:t>4종 모델 baseline 평가</w:t>
            </w:r>
          </w:p>
        </w:tc>
        <w:tc>
          <w:tcPr>
            <w:tcW w:type="dxa" w:w="2880"/>
          </w:tcPr>
          <w:p>
            <w:r>
              <w:t>모델별 정확도 표</w:t>
            </w:r>
          </w:p>
        </w:tc>
      </w:tr>
      <w:tr>
        <w:tc>
          <w:tcPr>
            <w:tcW w:type="dxa" w:w="2880"/>
          </w:tcPr>
          <w:p>
            <w:r>
              <w:t>3분기</w:t>
            </w:r>
          </w:p>
        </w:tc>
        <w:tc>
          <w:tcPr>
            <w:tcW w:type="dxa" w:w="2880"/>
          </w:tcPr>
          <w:p>
            <w:r>
              <w:t>도메인 적응 비교</w:t>
            </w:r>
          </w:p>
        </w:tc>
        <w:tc>
          <w:tcPr>
            <w:tcW w:type="dxa" w:w="2880"/>
          </w:tcPr>
          <w:p>
            <w:r>
              <w:t>기법별 정확도 향상량</w:t>
            </w:r>
          </w:p>
        </w:tc>
      </w:tr>
      <w:tr>
        <w:tc>
          <w:tcPr>
            <w:tcW w:type="dxa" w:w="2880"/>
          </w:tcPr>
          <w:p>
            <w:r>
              <w:t>4분기</w:t>
            </w:r>
          </w:p>
        </w:tc>
        <w:tc>
          <w:tcPr>
            <w:tcW w:type="dxa" w:w="2880"/>
          </w:tcPr>
          <w:p>
            <w:r>
              <w:t>표준 제안 / 논문 작성</w:t>
            </w:r>
          </w:p>
        </w:tc>
        <w:tc>
          <w:tcPr>
            <w:tcW w:type="dxa" w:w="2880"/>
          </w:tcPr>
          <w:p>
            <w:r>
              <w:t>국제 학회 투고 1편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