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3a5c"/>
          <w:sz w:val="28"/>
          <w:szCs w:val="28"/>
        </w:rPr>
        <w:t xml:space="preserve">AHDT-Ω: Adaptive Hamiltonian Digital Twin with Structural Coherence Monitoring for Early Detection of Hidden System Degradation</w:t>
      </w:r>
    </w:p>
    <w:p>
      <w:pPr>
        <w:spacing w:after="20" w:before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a5c"/>
          <w:sz w:val="22"/>
          <w:szCs w:val="22"/>
        </w:rPr>
        <w:t xml:space="preserve">Halil Özbil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Independent Researcher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İzmir, Türkiye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e6da4"/>
          <w:sz w:val="20"/>
          <w:szCs w:val="20"/>
        </w:rPr>
        <w:t xml:space="preserve">halilozbil2335@gmail.com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777777"/>
          <w:sz w:val="18"/>
          <w:szCs w:val="18"/>
        </w:rPr>
        <w:t xml:space="preserve">Submitted to: IEEE Transactions on Industrial Informatics — Manuscript Version 1.2</w:t>
      </w:r>
    </w:p>
    <w:p>
      <w:pPr>
        <w:pBdr>
          <w:bottom w:val="single" w:color="2e6da4" w:sz="6" w:space="2"/>
        </w:pBdr>
        <w:spacing w:after="200" w:before="0"/>
      </w:pP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Abstract—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Digital twins have emerged as critical tools for real-time monitoring, predictive maintenance, and operational optimization of complex physical systems. Existing approaches predominantly focus on output-level state variables or prediction error metrics, which may fail to detect degradation during its latent structural phase. This paper proposes AHDT-Ω (Adaptive Hamiltonian Digital Twin with Structural Coherence Monitoring), a physics-aware framework that introduces Hamiltonian-space divergence as a structure-sensitive early degradation indicator. The framework represents a physical asset through a generalized energy tensor H(t) ∈ ℝ^{m×m} encompassing thermodynamic, chemical, and electromechanical energy components, and constructs a dual Hamiltonian digital twin tracking divergence via the Frobenius drift metric ΔH. A Structural Coherence Score Ω_H maps this divergence to a normalized health indicator, and a Logarithmic Geometric Correction (LGC) layer — proven to maintain Ω*_H ∈ (0,1] under sub-linear damping — suppresses noise-induced false alarms. A Lyapunov-based stability analysis demonstrates convergence of the adaptive Hamiltonian update rule under bounded slow-varying system assumptions; perturbation analysis extends this to Uniform Ultimate Boundedness (UUB) under impulsive disturbances. Proof-of-concept Monte Carlo simulations (N = 1,000) on a synthetic battery degradation model demonstrate a mean Early Warning Gain of 14.8 time steps over conventional voltage-threshold monitoring, with 99.8% earlier-detection rate within the tested sigmoid degradation scenario and a calibrated false-alarm rate of 2.7%. An ablation study with noise scaled relative to signal magnitude confirms that the LGC layer reduces false alarms significantly over the base formulation, with Model A (ΔH-only) saturating at 100% FAR for moderate noise while Models B and C remain robust. All results are presented as proof-of-concept; NASA CALCE dataset validation is the primary planned next step.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Index Terms—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Hamiltonian digital twin, energy tensor, structural health monitoring, physics-informed AI, predictive maintenance, Lyapunov stability, Uniform Ultimate Boundedness, anomaly detection, early warning systems.</w:t>
      </w:r>
    </w:p>
    <w:p>
      <w:pPr>
        <w:pBdr>
          <w:bottom w:val="single" w:color="2e6da4" w:sz="4" w:space="2"/>
        </w:pBdr>
        <w:spacing w:after="80" w:before="240" w:line="276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I. INTRODUCTION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Complex engineered systems — from lithium-ion battery packs and gas turbines to quantum processors — exhibit a common failure pattern: observable performance degradation follows, rather than coincides with, the onset of internal structural change. Conventional digital twin architectures compare real-time sensor outputs against model predictions, issuing alarms only when the output error exceeds predefined thresholds [1],[2]. This output-centric paradigm introduces an intrinsic detection lag.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Physics-Informed Machine Learning (PIML) and Hamiltonian Neural Networks (HNNs) have demonstrated that the energy-structure of a dynamical system can be learned directly from data while preserving physical conservation laws [3],[4],[5]. However, these methods have not been systematically applied as a structural health monitoring (SHM) layer within digital twin architectures.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paper addresses this gap by proposing AHDT-Ω, a framework that monitors the divergence between the real system’s energy tensor H_R(t) and the digital twin’s energy tensor H_D(t). The six key contributions are:</w:t>
      </w:r>
    </w:p>
    <w:p>
      <w:pPr>
        <w:spacing w:after="40" w:before="40" w:line="276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1) A generalized energy tensor formulation H(t) ∈ ℝ^{m×m} for Hamiltonian-space digital twin structural monitoring.</w:t>
      </w:r>
    </w:p>
    <w:p>
      <w:pPr>
        <w:spacing w:after="40" w:before="40" w:line="276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2) A Hamiltonian drift metric ΔH(t) = ||H_R(t) − H_D(t)||_F and proof of its boundary properties.</w:t>
      </w:r>
    </w:p>
    <w:p>
      <w:pPr>
        <w:spacing w:after="40" w:before="40" w:line="276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3) A structural coherence function Ω_H(t) = exp(−αΔH(t)) with LGC layer proven to maintain Ω*_H ∈ (0, 1].</w:t>
      </w:r>
    </w:p>
    <w:p>
      <w:pPr>
        <w:spacing w:after="40" w:before="40" w:line="276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4) A Lyapunov convergence theorem under slow-variation, extended to UUB under perturbation.</w:t>
      </w:r>
    </w:p>
    <w:p>
      <w:pPr>
        <w:spacing w:after="40" w:before="40" w:line="276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5) Ablation study with noise scaled relative to signal magnitude, isolating component contributions.</w:t>
      </w:r>
    </w:p>
    <w:p>
      <w:pPr>
        <w:spacing w:after="40" w:before="40" w:line="276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6) Monte Carlo validation (N = 1,000) with fixed, reported hyperparameters (λ₁, λ₂, λ₃) and specified dH/dt discretization.</w:t>
      </w:r>
    </w:p>
    <w:p>
      <w:pPr>
        <w:spacing w:after="60" w:before="60" w:line="26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8b2500"/>
          <w:sz w:val="19"/>
          <w:szCs w:val="19"/>
        </w:rPr>
        <w:t xml:space="preserve">Scope caveat: 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All quantitative results derive from synthetic simulations under a sigmoid degradation model. The 99.8% earlier-detection rate reflects this model’s ordering properties and does not constitute a universal guarantee. NASA CALCE dataset validation (Section VII-C) is the primary planned real-data step.</w:t>
      </w:r>
    </w:p>
    <w:p>
      <w:pPr>
        <w:pBdr>
          <w:bottom w:val="single" w:color="2e6da4" w:sz="4" w:space="2"/>
        </w:pBdr>
        <w:spacing w:after="80" w:before="240" w:line="276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II. RELATED WORK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A. Digital Twin Architectures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Grieves and Vickers [1] established the foundational digital twin concept. Tao et al. [2] surveyed industrial implementations. Existing frameworks minimize output error ε_out(t) = ||Y_R(t) − Y_D(t)||, which does not account for latent structural divergence. AHDT-Ω operates in the complementary Hamiltonian energy-structure space.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B. Physics-Informed Learning and Hamiltonian Neural Networks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Raissi et al. [3] showed that PDE constraints as regularization improve generalization. Greydanus et al. [4] introduced HNNs that learn H(q, p) while respecting energy conservation, and Zhong et al. [5] extended this to dissipative systems via port-Hamiltonian formulations. Cranmer et al. [6] proposed Lagrangian Neural Networks. AHDT-Ω adopts HNN-style estimation as the input stage Γθ : X(t) → H(t) and adds a structural coherence monitoring pipeline absent in prior work.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C. Structural Health Monitoring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Farrar and Worden [7] formalized SHM as a hierarchy from damage existence through prognosis. Classical vibration-based SHM detects natural frequency shifts after mechanical degradation is physically established. AHDT-Ω targets Hamiltonian structural drift ΔH(t), potentially preceding physical manifestation, positioning it as a pre-SHM structural layer rather than a replacement.</w:t>
      </w:r>
    </w:p>
    <w:p>
      <w:pPr>
        <w:pBdr>
          <w:bottom w:val="single" w:color="2e6da4" w:sz="4" w:space="2"/>
        </w:pBdr>
        <w:spacing w:after="80" w:before="240" w:line="276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III. AHDT-Ω MATHEMATICAL FRAMEWORK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A. Generalized Energy Tensor Formulation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complex physical system is described by state vector X(t) ∈ ℝ^n. Unlike the classical scalar Hamiltonian H : ℝ^{2n} → ℝ familiar from analytical mechanics, AHDT-Ω employs a generalized energy tensor: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where T(t) is the kinetic energy block, V(t) is the potential energy block, and Σ(t) collects cross-domain coupling terms (electro-chemical, thermo-mechanical). This formulation is analogous to a simplectically extended Hamiltonian or energy Gram matrix familiar in port-Hamiltonian systems theory [10]. The tensor structure enables Frobenius-norm drift measurement across all coupled energy subsystems simultaneously.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learnable estimator Γθ maps sensor state to energy tensor: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trained under physics-constrained loss (Section III-F). The AHDT-Ω dual representation maintains: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Under healthy conditions: ℋ_R(t) ≈ ℋ_D(t). Hidden degradation creates a structural gap before any output metric Y(t) reflects the change.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444444"/>
          <w:sz w:val="18"/>
          <w:szCs w:val="18"/>
        </w:rPr>
        <w:t xml:space="preserve">Fig. 1. AHDT-Ω System Architecture. The estimator Γθ maps sensor streams to energy tensors for both real system and digital twin. The pipeline computes drift ΔH, coherence Ω_H, and LGC-corrected score Ω*_H, driving adaptive update and risk classification.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B. Hamiltonian Structural Drift Metric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structural error operator and Frobenius drift: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Normalization: ΔH_N(t) = ΔH_F(t) / ||ℋ_R(t)||_F provides scale-invariant drift for cross-domain comparison. The Frobenius norm is adopted by default for O(mn) tractability; spectral norm O(n^3) is available for eigen-space-sensitive applications.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C. Structural Coherence Score Ω_H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Boundary properties: (i) Ω_H = 1 iff ΔH = 0 (perfect health); (ii) Ω_H ∈ (0, 1] for all finite ΔH; (iii) Ω_H → 0 as ΔH → ∞. Degradation rate D_H(t) = −dΩ_H/dt provides an early-warning signal independent of absolute threshold crossing.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D. LGC Robustness Layer — Boundary Proof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Logarithmic Geometric Correction applies sub-linear damping: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Proposition 1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(LGC boundary).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Ω*_H(t) ∈ (0, 1] for all ΔH ≥ 0, and Ω*_H → 1 as ΔH → 0.</w:t>
      </w:r>
    </w:p>
    <w:p>
      <w:pPr>
        <w:spacing w:after="10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Proof: (i) Since Ω_H &gt; 0 and the denominator 1 + λ log(1 + ΔH) ≥ 1 for ΔH ≥ 0, we have Ω*_H &gt; 0. (ii) At ΔH = 0: Ω*_H = exp(0) / [1 + λ log(1)] = 1. (iii) For ΔH &gt; 0: Ω_H &lt; 1 and denominator &gt; 1, so Ω*_H &lt; Ω_H &lt; 1. (iv) The denominator grows as O(log ΔH), sub-linearly relative to ΔH, preserving sensitivity to gradual drift while damping high-frequency spikes. ■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Fig. 6 illustrates the boundary property and sub-linear denominator growth.</w:t>
      </w:r>
    </w:p>
    <w:p>
      <w:pPr>
        <w:spacing w:after="40" w:before="100"/>
        <w:jc w:val="center"/>
      </w:pPr>
      <w:r>
        <w:drawing>
          <wp:inline distT="0" distB="0" distL="0" distR="0">
            <wp:extent cx="5524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444444"/>
          <w:sz w:val="18"/>
          <w:szCs w:val="18"/>
        </w:rPr>
        <w:t xml:space="preserve">Fig. 6. LGC Boundary Analysis. (a) Ω*_H(t) ∈ (0, 1] confirmed across all ΔH: LGC-corrected score lies strictly below Ω_H while remaining positive. (b) Denominator grows sub-linearly (logarithmic vs. linear reference), validating Proposition 1.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E. Physics-Constrained Hamiltonian Estimator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estimator Γθ minimizes a composite loss with fixed hyperparameters selected via Bayesian Optimization on a held-out validation set (λ₁ = 0.40, λ₂ = 0.25, λ₃ = 0.35):</w:t>
      </w:r>
    </w:p>
    <w:p>
      <w:pPr>
        <w:spacing w:after="20" w:before="20" w:line="276"/>
        <w:ind w:left="560"/>
      </w:pPr>
      <w:r>
        <w:rPr>
          <w:rFonts w:ascii="Cambria Math" w:cs="Cambria Math" w:eastAsia="Cambria Math" w:hAnsi="Cambria Math"/>
          <w:i/>
          <w:iCs/>
          <w:color w:val="8b2500"/>
          <w:sz w:val="20"/>
          <w:szCs w:val="20"/>
        </w:rPr>
        <w:t xml:space="preserve">L_{pred} = ||Y_{real} − Y_{pred}||^2         (output accuracy)</w:t>
      </w:r>
    </w:p>
    <w:p>
      <w:pPr>
        <w:spacing w:after="20" w:before="20" w:line="276"/>
        <w:ind w:left="560"/>
      </w:pPr>
      <w:r>
        <w:rPr>
          <w:rFonts w:ascii="Cambria Math" w:cs="Cambria Math" w:eastAsia="Cambria Math" w:hAnsi="Cambria Math"/>
          <w:i/>
          <w:iCs/>
          <w:color w:val="8b2500"/>
          <w:sz w:val="20"/>
          <w:szCs w:val="20"/>
        </w:rPr>
        <w:t xml:space="preserve">L_H      = ||ℋ_{real} − ℋ_{est}||^2          (energy tensor fidelity)</w:t>
      </w:r>
    </w:p>
    <w:p>
      <w:pPr>
        <w:spacing w:after="20" w:before="20" w:line="276"/>
        <w:ind w:left="560"/>
      </w:pPr>
      <w:r>
        <w:rPr>
          <w:rFonts w:ascii="Cambria Math" w:cs="Cambria Math" w:eastAsia="Cambria Math" w:hAnsi="Cambria Math"/>
          <w:i/>
          <w:iCs/>
          <w:color w:val="8b2500"/>
          <w:sz w:val="20"/>
          <w:szCs w:val="20"/>
        </w:rPr>
        <w:t xml:space="preserve">L_{coh}  = (1 − Ω_H)                       (coherence penalty)</w:t>
      </w:r>
    </w:p>
    <w:p>
      <w:pPr>
        <w:spacing w:after="20" w:before="20" w:line="276"/>
        <w:ind w:left="560"/>
      </w:pPr>
      <w:r>
        <w:rPr>
          <w:rFonts w:ascii="Cambria Math" w:cs="Cambria Math" w:eastAsia="Cambria Math" w:hAnsi="Cambria Math"/>
          <w:i/>
          <w:iCs/>
          <w:color w:val="8b2500"/>
          <w:sz w:val="20"/>
          <w:szCs w:val="20"/>
        </w:rPr>
        <w:t xml:space="preserve">L_{cons} = ||dℋ/dt||^2                       (energy conservation; see Section III-F)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F. dH/dt Discretization — Symplectic Euler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energy conservation loss term L_{cons} requires computation of dℋ/dt. A first-order forward difference (Euler) approximation yields dℋ/dt ≈ [ℋ(t + Δt) − ℋ(t)] / Δt. However, consistent with HNN literature [4],[5], the preferred discretization is the Symplectic Euler (SE) integrator: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where J is the standard symplectic matrix. The SE integrator preserves the symplectic structure of the flow to first order and prevents artificial energy drift over long integration horizons — a critical property when L_{cons} is used as a training signal. In the Monte Carlo simulations of Section VI, Δt = 1 time step and the SE formula collapses to the forward difference for the scalar signal ΔH(t), with centered differences used for smoothness estimation.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G. Adaptive Hamiltonian Update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Stability is analyzed in Section IV.</w:t>
      </w:r>
    </w:p>
    <w:p>
      <w:pPr>
        <w:pBdr>
          <w:bottom w:val="single" w:color="2e6da4" w:sz="4" w:space="2"/>
        </w:pBdr>
        <w:spacing w:after="80" w:before="240" w:line="276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IV. STABILITY ANALYSIS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A. Error Dynamics Under Slow Variation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Under the slow-variation assumption ||ℋ_R(t+1) − ℋ_R(t)|| ≤ ε for small ε, the error evolves as: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where ε(t) is a bounded perturbation term ||ε(t)|| ≤ ε_{max}. Setting ε(t) = 0 gives the nominal dynamics E_ℋ(t+1) = (1 − η)E_ℋ(t), converging exponentially.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B. Lyapunov Convergence Theorem</w:t>
      </w:r>
    </w:p>
    <w:p>
      <w:pPr>
        <w:spacing w:after="60" w:before="80" w:line="276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Theorem 1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(Asymptotic convergence, nominal). Under ε(t) = 0 and η ∈ (0, 1), the Lyapunov candidate V(t) = ½E_ℋ(t)||^2 satisfies ΔV = (η^2 − 2η)V(t) &lt; 0, implying global asymptotic stability: E_ℋ(t) → 0, Ω_H(t) → 1.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Proof: V(t+1) = (1 − η)^2 V(t), so ΔV = [η^2 − 2η]V(t). For η ∈ (0,1): η^2 − 2η = η(η − 2) &lt; 0. ■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C. Perturbation Extension: Uniform Ultimate Boundedness</w:t>
      </w:r>
    </w:p>
    <w:p>
      <w:pPr>
        <w:spacing w:after="60" w:before="80" w:line="276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Theorem 2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(UUB under perturbation). Under bounded perturbation ||ε(t)|| ≤ ε_{max} and η ∈ (0,1), the error E_ℋ(t) is Uniformly Ultimately Bounded (UUB) with ultimate bound: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Proof sketch: ||E_ℋ(t+1)|| ≤ (1 − η)||E_ℋ(t)|| + ε_{max}. Setting ||E_ℋ(t+1)|| = ||E_ℋ(t)|| = β at steady state: β(1 −(1 − η)) = ε_{max}, giving β_{UUB} = ε_{max}/η. For abrupt events (large ε_{max}), increasing η tightens the ultimate bound. This establishes that AHDT-Ω degrades gracefully under rapid structural transitions, including impact events and thermal excursions: the twin does not diverge unboundedly but tracks within β_{UUB}. ■</w:t>
      </w:r>
    </w:p>
    <w:p>
      <w:pPr>
        <w:spacing w:after="60" w:before="60" w:line="26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8b2500"/>
          <w:sz w:val="19"/>
          <w:szCs w:val="19"/>
        </w:rPr>
        <w:t xml:space="preserve">Interpretation: 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Theorem 2 implies that if the system undergoes a rapid structural jump (e.g., bearing spalling, thermal runaway onset), E_H(t) will transiently increase but is bounded above by ε_{max}/η. This transient spike is itself an anomaly signal and can be incorporated into A_H(t) as an additional early-warning component.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Fig. 5 illustrates convergence trajectories and Lyapunov function decay for representative η values (nominal, ε = 0 case).</w:t>
      </w:r>
    </w:p>
    <w:p>
      <w:pPr>
        <w:spacing w:after="40" w:before="100"/>
        <w:jc w:val="center"/>
      </w:pPr>
      <w:r>
        <w:drawing>
          <wp:inline distT="0" distB="0" distL="0" distR="0">
            <wp:extent cx="5524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444444"/>
          <w:sz w:val="18"/>
          <w:szCs w:val="18"/>
        </w:rPr>
        <w:t xml:space="preserve">Fig. 5. Lyapunov stability analysis. (a) ||E_H(t)|| convergence for varying η. (b) V(t) on log-scale confirming monotone decrease for all η ∈ (0,1) under the nominal (slow-variation) assumption.</w:t>
      </w:r>
    </w:p>
    <w:p>
      <w:pPr>
        <w:pBdr>
          <w:bottom w:val="single" w:color="2e6da4" w:sz="4" w:space="2"/>
        </w:pBdr>
        <w:spacing w:after="80" w:before="240" w:line="276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V. HAD-Ω DETECTION ALGORITHM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Algorithm 1 formalizes the Hamiltonian Anomaly Detector. The three-level classification enables graduated maintenance responses.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Algorithm 1: HAD-Ω (Hamiltonian Anomaly Detector)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Input : X_R(t), ℋ_D(t), α=120, λ=0.30, η=0.08, τ₁ &lt; τ₂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Output: System state, ΔH(t), Ω*_H(t), A_H(t)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1: ℋ_R(t) ← Γθ(X_R(t))                      // Energy tensor estimation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2: E_ℋ(t) ← ℋ_R(t) − ℋ_D(t)                // Structural error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3: ΔH(t) ← ||E_ℋ(t)||_F                      // Frobenius drift magnitude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4: Ω_H(t) ← exp(−α ΔH(t))                 // Coherence score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5: Ω*_H(t) ← Ω_H / [1+λ·log(1+ΔH)]       // LGC correction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6: A_H(t) ← w₁ΔH + w₂|ΔΔH/Δt| + w₃(1−Ω*) // Anomaly score (SE discretization)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7: if A_H &lt; τ₁         → NORMAL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else if A_H &lt; τ₂   → STRUCTURAL DRIFT  [schedule inspection]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else               → FAILURE RISK    [immediate action]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8: ℋ_D(t+1) ← ℋ_D(t) + η E_ℋ(t)            // Adaptive update</w:t>
      </w:r>
    </w:p>
    <w:p>
      <w:pPr>
        <w:shd w:fill="F0F4F8" w:val="clear"/>
        <w:spacing w:after="18" w:before="18" w:line="248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────────────────────────────────────────────────────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Complexity: Frobenius norm O(mn); spectral variant O(n^3); randomized SVD approximation O(mn log n) [9].</w:t>
      </w:r>
    </w:p>
    <w:p>
      <w:pPr>
        <w:pBdr>
          <w:bottom w:val="single" w:color="2e6da4" w:sz="4" w:space="2"/>
        </w:pBdr>
        <w:spacing w:after="80" w:before="240" w:line="276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VI. EXPERIMENTAL VALIDATION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A. Hypotheses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H₁: t_{AHDT} &lt; t_{classic} (EWG &gt; 0). H₀ (null): t_{AHDT} ≥ t_{classic}. AHDT-Ω is falsified if H₀ cannot be rejected.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B. Synthetic Battery Degradation Model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Lithium-ion battery degradation is selected as test domain. The real system energy tensor under hidden degradation: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Parameters: α = 120, λ = 0.30, η = 0.08, V_0 = 4.2 V, k_V = 220, V_{thresh} = 3.70 V, Ω*_{thresh} = 0.80. FAR assessed in healthy window preceding 28% of degradation onset time t_0.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C. Single-Trajectory Analysis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Fig. 2 presents a representative trajectory. Terminal voltage remains in normal bounds while ΔH rises (panel b) and Ω*_H crosses the alarm threshold ahead of the voltage alarm (panel c–d), yielding EWG = 7 steps for this trajectory.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653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444444"/>
          <w:sz w:val="18"/>
          <w:szCs w:val="18"/>
        </w:rPr>
        <w:t xml:space="preserve">Fig. 2. Single degradation trajectory. (a) Terminal voltage — conventional monitoring. (b) Hamiltonian drift ΔH(t). (c) Coherence Ω_H(t) and LGC-corrected Ω*_H(t). (d) EWG visualization: AHDT-Ω alarm precedes voltage threshold crossing by EWG = 7 steps.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D. Monte Carlo Protocol and Results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 = 1,000 trials: t_0 ∼ U(90,180), k ∼ U(0.03,0.07), D_{max} ∼ U(0.007,0.011), σ_H ∼ U(0.03·D_{max}, 0.12·D_{max}), σ_V ∼ U(0.008,0.018). Loss weights fixed: λ₁ = 0.40, λ₂ = 0.25, λ₃ = 0.35. dH/dt approximated via Symplectic Euler (Δt = 1).</w:t>
      </w: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a3a5c"/>
          <w:sz w:val="20"/>
          <w:szCs w:val="20"/>
        </w:rPr>
        <w:t xml:space="preserve">TABLE I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AHDT-Ω Monte Carlo Performance Summary (N = 1,000)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48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Mean EWG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14.8 ± 18.0 steps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vs. voltage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Median EWG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 steps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Robust central estimate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Earlier Detection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99.8%†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†Sigmoid model; see §VII-A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False Alarm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2.7%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Pre-onset healthy window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Miss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0.2%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 / 1,000 trials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 trials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1,000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Randomized parameters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05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444444"/>
          <w:sz w:val="18"/>
          <w:szCs w:val="18"/>
        </w:rPr>
        <w:t xml:space="preserve">Fig. 3. Monte Carlo results (N = 1,000). FAR assessed in pre-onset healthy window (first 28% of t_0). (a) EWG distribution. (b) Performance metrics. (c) Positive-EWG subset (N = 998).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E. Ablation Study — Noise Scaled to Signal Magnitude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critical methodological choice in ablation studies is the noise parametrization. A noise level σ that is large in absolute terms but small relative to the signal magnitude provides an unrealistic advantage to simple thresholding methods. We therefore express noise as a fraction of the peak ΔH signal (∼ D_{max} = 0.009), yielding noise fractions σ_{rel} ∈ {3%, 7%, 12%, 20%, 30%, 45%}.</w:t>
      </w: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a3a5c"/>
          <w:sz w:val="20"/>
          <w:szCs w:val="20"/>
        </w:rPr>
        <w:t xml:space="preserve">TABLE II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Ablation — Model Variants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120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5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Model 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ΔH threshold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Raw drift threshold; no coherence scoring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Model 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ΔH + Ω_H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Exponential coherence mapping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Model 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ΔH + Ω_H + LGC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Full AHDT-Ω (proposed)</w:t>
            </w:r>
          </w:p>
        </w:tc>
      </w:tr>
    </w:tbl>
    <w:p>
      <w:pPr>
        <w:spacing w:after="100" w:before="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† Model A applies a fixed threshold ΔH_{thresh} = 0.0010 (calibrated at low noise for comparable detection time).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444444"/>
          <w:sz w:val="18"/>
          <w:szCs w:val="18"/>
        </w:rPr>
        <w:t xml:space="preserve">Fig. 4. Ablation study — noise scaled as fraction of peak ΔH signal. (a) FAR: Model A saturates at 100% FAR for σ_{rel} ≥ 12%; Model B remains robust up to ∼20%; Model C (LGC) extends robustness further. (b) Mean EWG: Models B and C maintain stable early-warning gain while Model A degrades.</w:t>
      </w:r>
    </w:p>
    <w:p>
      <w:pPr>
        <w:spacing w:after="60" w:before="60" w:line="260"/>
        <w:ind w:left="360"/>
      </w:pPr>
      <w:r>
        <w:rPr>
          <w:rFonts w:ascii="Times New Roman" w:cs="Times New Roman" w:eastAsia="Times New Roman" w:hAnsi="Times New Roman"/>
          <w:b/>
          <w:bCs/>
          <w:i/>
          <w:iCs/>
          <w:color w:val="8b2500"/>
          <w:sz w:val="19"/>
          <w:szCs w:val="19"/>
        </w:rPr>
        <w:t xml:space="preserve">Key finding: 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Model A’s FAR reaches 100% at σ_{rel} = 12%, confirming that raw ΔH thresholding is noise-intolerant. Model B (adding Ω_H) substantially extends robustness. Model C (adding LGC) provides incremental further improvement. At very high noise (σ_{rel} ≥ 30%), all models saturate — a physically expected regime where the signal-to-noise ratio falls below detectability, and which requires explicit sensor fusion or noise-adaptive smoothing beyond the scope of this work.</w:t>
      </w:r>
    </w:p>
    <w:p>
      <w:pPr>
        <w:pBdr>
          <w:bottom w:val="single" w:color="2e6da4" w:sz="4" w:space="2"/>
        </w:pBdr>
        <w:spacing w:after="80" w:before="240" w:line="276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VII. DISCUSSION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A. Critical Interpretation of the 99.8% Detection Rate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99.8% earlier-detection rate is a structural consequence of the sigmoid degradation model: D(t) begins growing before voltage crosses V_{thresh} by construction. Real-world failure modes where this ordering may not hold include:</w:t>
      </w:r>
    </w:p>
    <w:p>
      <w:pPr>
        <w:spacing w:after="30" w:before="30" w:line="276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(1) Step-wise (catastrophic) degradation with no latent phase.</w:t>
      </w:r>
    </w:p>
    <w:p>
      <w:pPr>
        <w:spacing w:after="30" w:before="30" w:line="276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(2) Sensor-noise-dominated regimes where ΔH cannot be resolved (σ_{rel} &gt; 30% per ablation results).</w:t>
      </w:r>
    </w:p>
    <w:p>
      <w:pPr>
        <w:spacing w:after="30" w:before="30" w:line="276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(3) Multi-mode failure where voltage degrades faster than energy structure drifts.</w:t>
      </w:r>
    </w:p>
    <w:p>
      <w:pPr>
        <w:spacing w:after="30" w:before="30" w:line="276"/>
        <w:ind w:left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(4) Estimator Γθ bias for out-of-distribution operating conditions.</w:t>
      </w:r>
    </w:p>
    <w:p>
      <w:pPr>
        <w:spacing w:after="100" w:before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99.8% figure confirms internal consistency; real-data validation is required before performance claims are generalized.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B. UUB and Rapid Degradation Events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Theorem 2 establishes that rapid structural transitions (impacts, thermal excursions) produce a bounded transient in E_H(t) that dissipates as the system returns to slow-variation dynamics. The ultimate bound β_{UUB} = ε_{max}/η is controllable via the adaptation rate: higher η tightens the bound at the cost of increased tracking variance during healthy operation. This trade-off can be formalized as a min-max optimization and is a target for future work.</w:t>
      </w:r>
    </w:p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C. Real-Data Validation Roadmap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NASA CALCE dataset [8] provides electrochemical impedance spectroscopy (EIS) across hundreds of charge-discharge cycles. The mapping from EIS to the battery energy tensor components is proposed as: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where Z'₁ and Z''₁ are the real and imaginary EIS components at characteristic frequency f₁ (related to SEI layer), and R_{ct}(t) is the charge-transfer resistance tracking lithium plating kinetics. This decomposition maps directly to the E_{chem} + E_{elec} + E_{loss} Hamiltonian structure and provides a physically grounded path from EIS data to Γθ inputs.</w:t>
      </w: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a3a5c"/>
          <w:sz w:val="20"/>
          <w:szCs w:val="20"/>
        </w:rPr>
        <w:t xml:space="preserve">TABLE III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Real-Data Validation Roadmap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360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Validation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Phase 1 (Immediate)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NASA CALCE Battery [8]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EIS→ℋ_{battery} mapping; EWG vs. SoH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Phase 2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FEMTO Bearing (PRONOSTIA)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Vibration-based ΔH drift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Phase 3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IMS Bearing (UCI)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Multi-sensor Γθ estimator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Phase 4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In-house hardware test bed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Real-time embedded deployment</w:t>
            </w:r>
          </w:p>
        </w:tc>
      </w:tr>
    </w:tbl>
    <w:p>
      <w:pPr>
        <w:spacing w:after="60" w:before="160" w:line="276"/>
      </w:pPr>
      <w:r>
        <w:rPr>
          <w:rFonts w:ascii="Times New Roman" w:cs="Times New Roman" w:eastAsia="Times New Roman" w:hAnsi="Times New Roman"/>
          <w:b/>
          <w:bCs/>
          <w:i/>
          <w:iCs/>
          <w:color w:val="1a3a5c"/>
          <w:sz w:val="20"/>
          <w:szCs w:val="20"/>
        </w:rPr>
        <w:t xml:space="preserve">D. Limitations (Summary)</w:t>
      </w:r>
    </w:p>
    <w:p>
      <w:pPr>
        <w:spacing w:after="40" w:before="60" w:line="276"/>
        <w:ind w:left="360"/>
      </w:pPr>
      <w:r>
        <w:rPr>
          <w:rFonts w:ascii="Times New Roman" w:cs="Times New Roman" w:eastAsia="Times New Roman" w:hAnsi="Times New Roman"/>
          <w:b/>
          <w:bCs/>
          <w:color w:val="8b2500"/>
          <w:sz w:val="20"/>
          <w:szCs w:val="20"/>
        </w:rPr>
        <w:t xml:space="preserve">L1 — Estimator dependence: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Performance bounded by Γθ fidelity. Inaccurate energy tensor estimation introduces systematic bias in ΔH(t).</w:t>
      </w:r>
    </w:p>
    <w:p>
      <w:pPr>
        <w:spacing w:after="40" w:before="60" w:line="276"/>
        <w:ind w:left="360"/>
      </w:pPr>
      <w:r>
        <w:rPr>
          <w:rFonts w:ascii="Times New Roman" w:cs="Times New Roman" w:eastAsia="Times New Roman" w:hAnsi="Times New Roman"/>
          <w:b/>
          <w:bCs/>
          <w:color w:val="8b2500"/>
          <w:sz w:val="20"/>
          <w:szCs w:val="20"/>
        </w:rPr>
        <w:t xml:space="preserve">L2 — Slow-variation assumption: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1 requires slowly varying ℋ_R(t). Rapid transitions addressed by UUB (Theorem 2) but Theorem 1’s convergence rate does not hold.</w:t>
      </w:r>
    </w:p>
    <w:p>
      <w:pPr>
        <w:spacing w:after="40" w:before="60" w:line="276"/>
        <w:ind w:left="360"/>
      </w:pPr>
      <w:r>
        <w:rPr>
          <w:rFonts w:ascii="Times New Roman" w:cs="Times New Roman" w:eastAsia="Times New Roman" w:hAnsi="Times New Roman"/>
          <w:b/>
          <w:bCs/>
          <w:color w:val="8b2500"/>
          <w:sz w:val="20"/>
          <w:szCs w:val="20"/>
        </w:rPr>
        <w:t xml:space="preserve">L3 — Synthetic validation only: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All results use generative models. Real failure modes exhibit manufacturing variability and multi-mode behavior not captured here.</w:t>
      </w:r>
    </w:p>
    <w:p>
      <w:pPr>
        <w:spacing w:after="40" w:before="60" w:line="276"/>
        <w:ind w:left="360"/>
      </w:pPr>
      <w:r>
        <w:rPr>
          <w:rFonts w:ascii="Times New Roman" w:cs="Times New Roman" w:eastAsia="Times New Roman" w:hAnsi="Times New Roman"/>
          <w:b/>
          <w:bCs/>
          <w:color w:val="8b2500"/>
          <w:sz w:val="20"/>
          <w:szCs w:val="20"/>
        </w:rPr>
        <w:t xml:space="preserve">L4 — Threshold calibration: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Ω*, τ₁, τ₂ require domain-specific calibration. Improper calibration directly affects FAR and miss rate.</w:t>
      </w:r>
    </w:p>
    <w:p>
      <w:pPr>
        <w:spacing w:after="40" w:before="60" w:line="276"/>
        <w:ind w:left="360"/>
      </w:pPr>
      <w:r>
        <w:rPr>
          <w:rFonts w:ascii="Times New Roman" w:cs="Times New Roman" w:eastAsia="Times New Roman" w:hAnsi="Times New Roman"/>
          <w:b/>
          <w:bCs/>
          <w:color w:val="8b2500"/>
          <w:sz w:val="20"/>
          <w:szCs w:val="20"/>
        </w:rPr>
        <w:t xml:space="preserve">L5 — High-noise saturation: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All models saturate at FAR = 100% for σ_{rel} &gt; 30%. Sensor fusion or adaptive smoothing needed beyond this regime.</w:t>
      </w:r>
    </w:p>
    <w:p>
      <w:pPr>
        <w:pBdr>
          <w:bottom w:val="single" w:color="2e6da4" w:sz="4" w:space="2"/>
        </w:pBdr>
        <w:spacing w:after="80" w:before="240" w:line="276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VIII. CONCLUSION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paper introduced AHDT-Ω, a generalized energy tensor digital twin monitoring framework that shifts from output-level error tracking to Hamiltonian-space structural divergence detection. Six technical contributions form a cohesive, theoretically grounded architecture: energy tensor formulation, drift metric with formal boundary properties (Proposition 1), LGC robustness layer with proven sub-linear damping, Lyapunov convergence theorem (Theorem 1) extended to UUB under perturbation (Theorem 2), properly calibrated ablation study with signal-relative noise scaling, and Monte Carlo validation with fixed, reported hyperparameters and specified dH/dt discretization.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primary limitation — absence of real-world validation — is addressed through a concrete four-phase roadmap targeting NASA CALCE EIS data as the immediate next step, with an explicit EIS → ℋ_{battery} mapping proposed. Future work will implement a neural Hamiltonian estimator and investigate min-max optimization of the UUB η trade-off.</w:t>
      </w:r>
    </w:p>
    <w:p>
      <w:pPr>
        <w:pBdr>
          <w:bottom w:val="single" w:color="2e6da4" w:sz="4" w:space="2"/>
        </w:pBdr>
        <w:spacing w:after="80" w:before="240" w:line="276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ACKNOWLEDGMENT</w:t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author declares no external funding. Simulation code and hyperparameter configurations are available upon request.</w:t>
      </w:r>
    </w:p>
    <w:p>
      <w:pPr>
        <w:pBdr>
          <w:bottom w:val="single" w:color="2e6da4" w:sz="4" w:space="2"/>
        </w:pBdr>
        <w:spacing w:after="80" w:before="240" w:line="276"/>
      </w:pPr>
      <w:r>
        <w:rPr>
          <w:rFonts w:ascii="Times New Roman" w:cs="Times New Roman" w:eastAsia="Times New Roman" w:hAnsi="Times New Roman"/>
          <w:b/>
          <w:bCs/>
          <w:color w:val="1a3a5c"/>
          <w:sz w:val="20"/>
          <w:szCs w:val="20"/>
        </w:rPr>
        <w:t xml:space="preserve">REFERENCES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[1] M. Grieves and J. Vickers, “Digital twin: Mitigating unpredictable, undesirable emergent behavior in complex systems,” in Transdisciplinary Perspectives on Complex Systems. Springer, 2017, pp. 85–113.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[2] F. Tao, H. Zhang, A. Liu, and A. Y. C. Nee, “Digital twin in industry: State-of-the-art,” IEEE Trans. Ind. Informat., vol. 15, no. 4, pp. 2405–2415, Apr. 2019.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[3] M. Raissi, P. Perdikaris, and G. E. Karniadakis, “Physics-informed neural networks,” J. Comput. Phys., vol. 378, pp. 686–707, Feb. 2019.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[4] S. Greydanus, M. Dzamba, and J. Yosinski, “Hamiltonian neural networks,” in Proc. NeurIPS, 2019, pp. 15379–15389.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[5] Y. D. Zhong, B. Dey, and A. Chakraborty, “Symplectic ODE-Net: Learning Hamiltonian dynamics with control,” in Proc. ICLR, 2020.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[6] M. Cranmer et al., “Lagrangian neural networks,” arXiv:2003.04630, 2020.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[7] C. R. Farrar and K. Worden, Structural Health Monitoring: A Machine Learning Perspective. Wiley, 2012.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[8] B. Saha and K. Goebel, “Battery data set,” NASA Ames Prognostics Data Repository, 2007. [Online]. Available: https://ti.arc.nasa.gov/tech/dash/groups/pcoe/prognostic-data-repository/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[9] N. Halko, P. G. Martinsson, and J. A. Tropp, “Finding structure with randomness: Probabilistic algorithms for constructing approximate matrix decompositions,” SIAM Rev., vol. 53, no. 2, pp. 217–288, 2011.</w:t>
      </w:r>
    </w:p>
    <w:p>
      <w:pPr>
        <w:spacing w:after="40" w:before="40" w:line="240"/>
        <w:ind w:left="360" w:hanging="360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[10] A. J. van der Schaft and D. Jeltsema, “Port-Hamiltonian systems theory: An introductory overview,” Found. Trends Syst. Control, vol. 1, no. 2–3, pp. 173–378, 2014.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2"/>
      </w:pBdr>
      <w:spacing w:after="0" w:before="80"/>
      <w:jc w:val="center"/>
    </w:pP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H. Özbil — AHDT-Ω  v1.2   •   Page 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2"/>
      </w:pBdr>
      <w:spacing w:after="80" w:before="0"/>
    </w:pPr>
    <w:r>
      <w:rPr>
        <w:rFonts w:ascii="Times New Roman" w:cs="Times New Roman" w:eastAsia="Times New Roman" w:hAnsi="Times New Roman"/>
        <w:i/>
        <w:iCs/>
        <w:color w:val="666666"/>
        <w:sz w:val="16"/>
        <w:szCs w:val="16"/>
      </w:rPr>
      <w:t xml:space="preserve">IEEE TRANSACTIONS ON INDUSTRIAL INFORMATICS — AHDT-Ω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594b89b6262cb63372c63421a34319e39a5ab2.png"/><Relationship Id="rId10" Type="http://schemas.openxmlformats.org/officeDocument/2006/relationships/image" Target="media/dcb6e492871926ff7a258fce6273023919e46102.png"/><Relationship Id="rId11" Type="http://schemas.openxmlformats.org/officeDocument/2006/relationships/image" Target="media/942711e7f1990e5ade888cd75da68a20d76286c7.png"/><Relationship Id="rId12" Type="http://schemas.openxmlformats.org/officeDocument/2006/relationships/image" Target="media/8b31746e6ccec377fc737b98f14219d259c9f6d7.png"/><Relationship Id="rId13" Type="http://schemas.openxmlformats.org/officeDocument/2006/relationships/image" Target="media/3d3d8f6a5f95de25a7cef9ee0b65717d8d29a2c1.png"/><Relationship Id="rId14" Type="http://schemas.openxmlformats.org/officeDocument/2006/relationships/image" Target="media/40ce3667934e1d314d4a3c9e0326c3ef3320035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2026-06-16T12:31:07.078Z</dcterms:created>
  <dcterms:modified xsi:type="dcterms:W3CDTF">2026-06-16T12:31:07.090Z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