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melhor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r w:rsidRPr="005E70ED">
        <w:rPr>
          <w:sz w:val="24"/>
          <w:szCs w:val="24"/>
          <w:highlight w:val="green"/>
        </w:rPr>
        <w:t>.</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r w:rsidRPr="00036962">
        <w:rPr>
          <w:sz w:val="24"/>
          <w:szCs w:val="24"/>
          <w:highlight w:val="green"/>
        </w:rPr>
        <w:t>.</w:t>
      </w:r>
    </w:p>
    <w:p w14:paraId="2C53ACCA" w14:textId="08B9AFC8" w:rsidR="001167EF" w:rsidRPr="00B36518" w:rsidRDefault="001167EF" w:rsidP="00AE46C4">
      <w:pPr>
        <w:pStyle w:val="Nivel2"/>
        <w:ind w:left="0" w:firstLine="0"/>
        <w:rPr>
          <w:sz w:val="24"/>
          <w:szCs w:val="24"/>
        </w:rPr>
      </w:pPr>
      <w:bookmarkStart w:id="37"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B0758">
        <w:rPr>
          <w:b/>
          <w:bCs/>
          <w:sz w:val="24"/>
          <w:szCs w:val="24"/>
          <w:highlight w:val="green"/>
        </w:rPr>
        <w:t xml:space="preserve">item </w:t>
      </w:r>
      <w:r w:rsidR="00CF655B" w:rsidRPr="00DB0758">
        <w:rPr>
          <w:b/>
          <w:bCs/>
          <w:sz w:val="24"/>
          <w:szCs w:val="24"/>
          <w:highlight w:val="green"/>
        </w:rPr>
        <w:t>7</w:t>
      </w:r>
      <w:r w:rsidRPr="00DB0758">
        <w:rPr>
          <w:b/>
          <w:bCs/>
          <w:sz w:val="24"/>
          <w:szCs w:val="24"/>
          <w:highlight w:val="green"/>
        </w:rPr>
        <w:t>.</w:t>
      </w:r>
      <w:r w:rsidR="00520637" w:rsidRPr="00DB0758">
        <w:rPr>
          <w:b/>
          <w:bCs/>
          <w:sz w:val="24"/>
          <w:szCs w:val="24"/>
          <w:highlight w:val="green"/>
        </w:rPr>
        <w:t>8</w:t>
      </w:r>
      <w:r w:rsidRPr="00DB0758">
        <w:rPr>
          <w:b/>
          <w:bCs/>
          <w:sz w:val="24"/>
          <w:szCs w:val="24"/>
          <w:highlight w:val="green"/>
        </w:rPr>
        <w:t>.1</w:t>
      </w:r>
      <w:r w:rsidRPr="00B36518">
        <w:rPr>
          <w:sz w:val="24"/>
          <w:szCs w:val="24"/>
        </w:rPr>
        <w:t>.</w:t>
      </w:r>
      <w:bookmarkEnd w:id="37"/>
    </w:p>
    <w:p w14:paraId="21188964" w14:textId="0BC75A20" w:rsidR="001167EF" w:rsidRDefault="001167EF" w:rsidP="00AE46C4">
      <w:pPr>
        <w:pStyle w:val="Nivel2"/>
        <w:ind w:left="0" w:firstLine="0"/>
        <w:rPr>
          <w:sz w:val="24"/>
          <w:szCs w:val="24"/>
        </w:rPr>
      </w:pPr>
      <w:bookmarkStart w:id="38"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lastRenderedPageBreak/>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lastRenderedPageBreak/>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2" w:name="_Toc135469234"/>
      <w:r w:rsidRPr="00B36518">
        <w:t>DAS INFRAÇÕES ADMINISTRATIVAS E SANÇÕES</w:t>
      </w:r>
      <w:bookmarkEnd w:id="42"/>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0CA77BCA" w:rsidR="001167EF" w:rsidRPr="00707C6D" w:rsidRDefault="007F2D3C" w:rsidP="00AE46C4">
      <w:pPr>
        <w:pStyle w:val="Nivel2"/>
        <w:ind w:left="0" w:firstLine="0"/>
        <w:rPr>
          <w:sz w:val="24"/>
          <w:szCs w:val="24"/>
        </w:rPr>
      </w:pPr>
      <w:r w:rsidRPr="00707C6D">
        <w:rPr>
          <w:sz w:val="24"/>
          <w:szCs w:val="24"/>
        </w:rPr>
        <w:t>As sanções de que trata o item anterior serão aplicadas garantindo-se o exercício de prévia e ampla defesa, e serão registradas no SICAF</w:t>
      </w:r>
      <w:r w:rsidR="009D57AD">
        <w:rPr>
          <w:sz w:val="24"/>
          <w:szCs w:val="24"/>
        </w:rPr>
        <w:t xml:space="preserve"> e</w:t>
      </w:r>
      <w:r w:rsidRPr="00707C6D">
        <w:rPr>
          <w:sz w:val="24"/>
          <w:szCs w:val="24"/>
        </w:rPr>
        <w:t xml:space="preserve"> na Relação de Apenados deste Tribunal de Contas, nos termos das Instruções nº 1/2024</w:t>
      </w:r>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3" w:name="_Toc135469235"/>
      <w:r w:rsidRPr="00707C6D">
        <w:t>DA IMPUGNAÇÃO AO EDITAL E DO PEDIDO DE ESCLARECIMENTO</w:t>
      </w:r>
      <w:bookmarkEnd w:id="43"/>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8"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59"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4" w:name="_Toc135469236"/>
      <w:r w:rsidRPr="00B36518">
        <w:t>DAS DISPOSIÇÕES GERAIS</w:t>
      </w:r>
      <w:bookmarkEnd w:id="44"/>
    </w:p>
    <w:p w14:paraId="64BB97B9" w14:textId="77777777" w:rsidR="001167EF" w:rsidRPr="00B36518" w:rsidRDefault="001167EF" w:rsidP="00AE46C4">
      <w:pPr>
        <w:pStyle w:val="Nivel2"/>
        <w:ind w:left="0" w:firstLine="0"/>
        <w:rPr>
          <w:sz w:val="24"/>
          <w:szCs w:val="24"/>
        </w:rPr>
      </w:pPr>
      <w:bookmarkStart w:id="45"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2"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lastRenderedPageBreak/>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6"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5"/>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1751D0FA" w:rsidR="00B811EF" w:rsidRPr="00B811EF" w:rsidRDefault="00B811EF" w:rsidP="00B811EF">
            <w:pPr>
              <w:spacing w:before="120" w:after="120" w:line="276" w:lineRule="auto"/>
              <w:jc w:val="both"/>
              <w:rPr>
                <w:rFonts w:cs="Arial"/>
                <w:sz w:val="18"/>
                <w:szCs w:val="18"/>
              </w:rPr>
            </w:pPr>
            <w:r w:rsidRPr="003C25AA">
              <w:rPr>
                <w:rFonts w:cs="Arial"/>
                <w:sz w:val="18"/>
                <w:szCs w:val="18"/>
              </w:rPr>
              <w:t>O custo estimado para aquisição de peças, acessórios, componentes, etc. durante a vigência contratual é de</w:t>
            </w:r>
            <w:r w:rsidR="00A032C3">
              <w:rPr>
                <w:rFonts w:cs="Arial"/>
                <w:sz w:val="18"/>
                <w:szCs w:val="18"/>
              </w:rPr>
              <w:t xml:space="preserve"> </w:t>
            </w:r>
            <w:r w:rsidR="00A032C3" w:rsidRPr="00A032C3">
              <w:rPr>
                <w:rFonts w:cs="Arial"/>
                <w:sz w:val="18"/>
                <w:szCs w:val="18"/>
              </w:rPr>
              <w:t>R$ 184.225,00 (cento e oitenta e quatro mil duzentos e vinte e cinco reais).</w:t>
            </w:r>
            <w:r w:rsidRPr="003C25AA">
              <w:rPr>
                <w:rFonts w:cs="Arial"/>
                <w:sz w:val="18"/>
                <w:szCs w:val="18"/>
              </w:rPr>
              <w:t xml:space="preserve"> </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6"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20C5602" w14:textId="23B49855" w:rsidR="00ED4A05" w:rsidRDefault="00B811EF" w:rsidP="00693B86">
      <w:pPr>
        <w:spacing w:before="120" w:after="120" w:line="276" w:lineRule="auto"/>
        <w:jc w:val="both"/>
        <w:rPr>
          <w:rFonts w:cs="Arial"/>
          <w:b/>
          <w:bCs/>
          <w:u w:val="single"/>
        </w:rPr>
      </w:pPr>
      <w:r w:rsidRPr="00B811EF">
        <w:rPr>
          <w:rFonts w:cs="Arial"/>
          <w:b/>
          <w:bCs/>
          <w:u w:val="single"/>
        </w:rPr>
        <w:lastRenderedPageBreak/>
        <w:t>Subcontratação</w:t>
      </w:r>
    </w:p>
    <w:p w14:paraId="03BE45E6" w14:textId="77777777" w:rsidR="002C2723" w:rsidRPr="002C2723" w:rsidRDefault="002C2723" w:rsidP="00693B86">
      <w:pPr>
        <w:spacing w:before="120" w:after="120" w:line="276" w:lineRule="auto"/>
        <w:jc w:val="both"/>
        <w:rPr>
          <w:rFonts w:cs="Arial"/>
          <w:b/>
          <w:bCs/>
          <w:u w:val="single"/>
        </w:rPr>
      </w:pPr>
    </w:p>
    <w:p w14:paraId="0D7AAC53" w14:textId="77777777" w:rsidR="007E25BF" w:rsidRPr="007E25BF" w:rsidRDefault="007E25BF" w:rsidP="007E25BF">
      <w:pPr>
        <w:spacing w:before="120" w:after="120" w:line="276" w:lineRule="auto"/>
        <w:jc w:val="both"/>
        <w:rPr>
          <w:rFonts w:cs="Arial"/>
        </w:rPr>
      </w:pPr>
      <w:r w:rsidRPr="007E25BF">
        <w:rPr>
          <w:rFonts w:cs="Arial"/>
        </w:rPr>
        <w:t>4.3. É admitida a subcontratação parcial do objeto, nas seguintes condições:</w:t>
      </w:r>
    </w:p>
    <w:p w14:paraId="2A274541" w14:textId="3EC7CABA" w:rsidR="007E25BF" w:rsidRPr="007E25BF" w:rsidRDefault="007E25BF" w:rsidP="007E25BF">
      <w:pPr>
        <w:spacing w:before="120" w:after="120" w:line="276" w:lineRule="auto"/>
        <w:jc w:val="both"/>
        <w:rPr>
          <w:rFonts w:cs="Arial"/>
        </w:rPr>
      </w:pPr>
      <w:r w:rsidRPr="007E25BF">
        <w:rPr>
          <w:rFonts w:cs="Arial"/>
        </w:rPr>
        <w:t>        4.3.1. É vedada a subcontratação completa do objeto ou da parcela principal da contratação, consistente na execução dos serviços de manutenção preventiva e corretiva dos veículos que compõem a frota do TCESP;</w:t>
      </w:r>
    </w:p>
    <w:p w14:paraId="5D38AAAF" w14:textId="5512825D" w:rsidR="007E25BF" w:rsidRPr="007E25BF" w:rsidRDefault="007E25BF" w:rsidP="009954FB">
      <w:pPr>
        <w:spacing w:before="120" w:after="120" w:line="276" w:lineRule="auto"/>
        <w:ind w:left="993"/>
        <w:jc w:val="both"/>
        <w:rPr>
          <w:rFonts w:cs="Arial"/>
        </w:rPr>
      </w:pPr>
      <w:r w:rsidRPr="007E25BF">
        <w:rPr>
          <w:rFonts w:cs="Arial"/>
        </w:rPr>
        <w:t>4.3.1.1. Excepcionalmente, será admitida a subcontratação de serviços especializados, desde que devidamente justificada pela natureza técnica do serviço, limitada aos seguintes serviços: funilaria, pintura, câmbio, retifica de motor, ar-condicionado, elétrica e tapeçaria; </w:t>
      </w:r>
    </w:p>
    <w:p w14:paraId="24171E8D" w14:textId="52A7A177" w:rsidR="007E25BF" w:rsidRPr="007E25BF" w:rsidRDefault="007E25BF" w:rsidP="009954FB">
      <w:pPr>
        <w:spacing w:before="120" w:after="120" w:line="276" w:lineRule="auto"/>
        <w:ind w:left="993"/>
        <w:jc w:val="both"/>
        <w:rPr>
          <w:rFonts w:cs="Arial"/>
        </w:rPr>
      </w:pPr>
      <w:r w:rsidRPr="007E25BF">
        <w:rPr>
          <w:rFonts w:cs="Arial"/>
        </w:rPr>
        <w:t>4.3.1.2. Para os veículos blindados integrantes da frota, identificados no Anexo A deste Termo de Referência, será admitida a subcontratação de serviços de manutenção, reparo ou intervenção quando tais serviços demandarem atuação de empresa certificada e especializada em veículos com blindagem balística;</w:t>
      </w:r>
    </w:p>
    <w:p w14:paraId="25FBC1F8" w14:textId="570137E4" w:rsidR="007E25BF" w:rsidRPr="007E25BF" w:rsidRDefault="007E25BF" w:rsidP="009954FB">
      <w:pPr>
        <w:spacing w:before="120" w:after="120" w:line="276" w:lineRule="auto"/>
        <w:ind w:left="993"/>
        <w:jc w:val="both"/>
        <w:rPr>
          <w:rFonts w:cs="Arial"/>
        </w:rPr>
      </w:pPr>
      <w:r w:rsidRPr="007E25BF">
        <w:rPr>
          <w:rFonts w:cs="Arial"/>
        </w:rPr>
        <w:t>4.3.1.3. A subcontratação relativa aos veículos blindados fica</w:t>
      </w:r>
      <w:r w:rsidR="00E510C4">
        <w:rPr>
          <w:rFonts w:cs="Arial"/>
        </w:rPr>
        <w:t xml:space="preserve"> </w:t>
      </w:r>
      <w:r w:rsidRPr="007E25BF">
        <w:rPr>
          <w:rFonts w:cs="Arial"/>
        </w:rPr>
        <w:t>condicionada à comprovação, pela Contratada, de que a empresa subcontratada:</w:t>
      </w:r>
    </w:p>
    <w:p w14:paraId="7B16882E" w14:textId="6A7F5397" w:rsidR="007E25BF" w:rsidRDefault="007E25BF" w:rsidP="009954FB">
      <w:pPr>
        <w:spacing w:before="120" w:after="120" w:line="276" w:lineRule="auto"/>
        <w:ind w:left="993"/>
        <w:jc w:val="both"/>
        <w:rPr>
          <w:rFonts w:cs="Arial"/>
        </w:rPr>
      </w:pPr>
      <w:r w:rsidRPr="007E25BF">
        <w:rPr>
          <w:rFonts w:cs="Arial"/>
        </w:rPr>
        <w:t>I – possui certificação técnica, homologação ou credenciamento junto a fabricante de blindagem ou entidade competente;</w:t>
      </w:r>
      <w:r>
        <w:rPr>
          <w:rFonts w:cs="Arial"/>
        </w:rPr>
        <w:tab/>
      </w:r>
      <w:r w:rsidRPr="007E25BF">
        <w:rPr>
          <w:rFonts w:cs="Arial"/>
        </w:rPr>
        <w:br/>
        <w:t>II – dispõe de estrutura física, equipamentos e profissionais qualificados para execução de serviços em veículos blindados;</w:t>
      </w:r>
      <w:r>
        <w:rPr>
          <w:rFonts w:cs="Arial"/>
        </w:rPr>
        <w:tab/>
      </w:r>
      <w:r w:rsidRPr="007E25BF">
        <w:rPr>
          <w:rFonts w:cs="Arial"/>
        </w:rPr>
        <w:br/>
        <w:t>III – adota procedimentos compatíveis com as normas de segurança aplicáveis à blindagem balística.</w:t>
      </w:r>
    </w:p>
    <w:p w14:paraId="43671CC4" w14:textId="30B3C197" w:rsidR="007E25BF" w:rsidRPr="007E25BF" w:rsidRDefault="007E25BF" w:rsidP="009954FB">
      <w:pPr>
        <w:spacing w:before="120" w:after="120" w:line="276" w:lineRule="auto"/>
        <w:ind w:left="993"/>
        <w:jc w:val="both"/>
        <w:rPr>
          <w:rFonts w:cs="Arial"/>
        </w:rPr>
      </w:pPr>
      <w:r w:rsidRPr="007E25BF">
        <w:rPr>
          <w:rFonts w:cs="Arial"/>
        </w:rPr>
        <w:t>4.3.1.4. A subcontratação deverá ser previamente submetida à aprovação do Gestor e/ou Comissão de Fiscalização do contrato;</w:t>
      </w:r>
    </w:p>
    <w:p w14:paraId="2EF582B6" w14:textId="22CAA566" w:rsidR="007E25BF" w:rsidRPr="007E25BF" w:rsidRDefault="007E25BF" w:rsidP="002C2723">
      <w:pPr>
        <w:spacing w:before="120" w:after="120" w:line="276" w:lineRule="auto"/>
        <w:ind w:left="993"/>
        <w:jc w:val="both"/>
        <w:rPr>
          <w:rFonts w:cs="Arial"/>
        </w:rPr>
      </w:pPr>
      <w:r w:rsidRPr="007E25BF">
        <w:rPr>
          <w:rFonts w:cs="Arial"/>
        </w:rPr>
        <w:t> 4.3.1.5. A responsabilidade técnica, operacional e contratual pelos serviços executados, inclusive aqueles realizados por subcontratadas, permanecerá integralmente sob responsabilidade da Contratada. </w:t>
      </w:r>
    </w:p>
    <w:p w14:paraId="2E00B965" w14:textId="7EA2500B" w:rsidR="00232942" w:rsidRDefault="007E25BF" w:rsidP="00B811EF">
      <w:pPr>
        <w:spacing w:before="120" w:after="120" w:line="276" w:lineRule="auto"/>
        <w:jc w:val="both"/>
        <w:rPr>
          <w:rFonts w:cs="Arial"/>
        </w:rPr>
      </w:pPr>
      <w:r w:rsidRPr="007E25B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0C9D2A86" w14:textId="77777777" w:rsidR="00AE746A" w:rsidRDefault="00AE746A" w:rsidP="00B811EF">
      <w:pPr>
        <w:spacing w:before="120" w:after="120" w:line="276" w:lineRule="auto"/>
        <w:jc w:val="both"/>
        <w:rPr>
          <w:rFonts w:cs="Arial"/>
        </w:rPr>
      </w:pPr>
    </w:p>
    <w:p w14:paraId="170B299D" w14:textId="77777777" w:rsidR="00AE746A" w:rsidRDefault="00AE746A" w:rsidP="00B811EF">
      <w:pPr>
        <w:spacing w:before="120" w:after="120" w:line="276" w:lineRule="auto"/>
        <w:jc w:val="both"/>
        <w:rPr>
          <w:rFonts w:cs="Arial"/>
        </w:rPr>
      </w:pPr>
    </w:p>
    <w:p w14:paraId="4668F9AE" w14:textId="77777777" w:rsidR="00AE746A" w:rsidRDefault="00AE746A" w:rsidP="00B811EF">
      <w:pPr>
        <w:spacing w:before="120" w:after="120" w:line="276" w:lineRule="auto"/>
        <w:jc w:val="both"/>
        <w:rPr>
          <w:rFonts w:cs="Arial"/>
        </w:rPr>
      </w:pP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lastRenderedPageBreak/>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t>A distância de até 10 (dez) quilômetros é percorrida em, considerando que a velocidade média de tráfego em áreas urbanas varia entre 18 km/h 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lastRenderedPageBreak/>
        <w:t>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pastilhas, etc.)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t>Logo, acréscimos da distância permitida, assim como a ausência de limitação, aumentam proporcionalmente os custos, tendo ainda que se 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4.6.2.4. Fiscalização do contrato: Uma oficina próxima permite visitas técnicas frequentes, acompanhamento presencial das etapas de manutenção, verificação das instalações, pessoal, peças utilizadas, etc.,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lastRenderedPageBreak/>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2CD3E9D3" w14:textId="46090D96" w:rsidR="00421878"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lastRenderedPageBreak/>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lastRenderedPageBreak/>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lastRenderedPageBreak/>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lastRenderedPageBreak/>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1B36BD18" w14:textId="68DB2ECA" w:rsidR="00AB6E6E" w:rsidRDefault="00B811EF" w:rsidP="00B811EF">
      <w:pPr>
        <w:spacing w:before="120" w:after="120" w:line="276" w:lineRule="auto"/>
        <w:jc w:val="both"/>
        <w:rPr>
          <w:rFonts w:cs="Arial"/>
        </w:rPr>
      </w:pPr>
      <w:r w:rsidRPr="00B811EF">
        <w:rPr>
          <w:rFonts w:cs="Arial"/>
        </w:rPr>
        <w:t xml:space="preserve">5.13. </w:t>
      </w:r>
      <w:r w:rsidR="00AB6E6E" w:rsidRPr="00AB6E6E">
        <w:rPr>
          <w:rFonts w:cs="Arial"/>
        </w:rPr>
        <w:t>Os serviços que demandarem atuação de empresa certificada e especializada em veículos com blindagem balística serão executados no prazo máximo de 15 (quinze) dias úteis, salvo justificativa prévia por parte da Contratada e aceitação pelo Contratante</w:t>
      </w:r>
      <w:r w:rsidR="00AB6E6E">
        <w:rPr>
          <w:rFonts w:cs="Arial"/>
        </w:rPr>
        <w:t>;</w:t>
      </w:r>
    </w:p>
    <w:p w14:paraId="6C6344A0" w14:textId="324EBC65" w:rsidR="00B811EF" w:rsidRPr="00B811EF" w:rsidRDefault="00AB6E6E" w:rsidP="00B811EF">
      <w:pPr>
        <w:spacing w:before="120" w:after="120" w:line="276" w:lineRule="auto"/>
        <w:jc w:val="both"/>
        <w:rPr>
          <w:rFonts w:cs="Arial"/>
        </w:rPr>
      </w:pPr>
      <w:r w:rsidRPr="00B811EF">
        <w:rPr>
          <w:rFonts w:cs="Arial"/>
        </w:rPr>
        <w:t xml:space="preserve">5.14. </w:t>
      </w:r>
      <w:r w:rsidR="00B811EF" w:rsidRPr="00B811EF">
        <w:rPr>
          <w:rFonts w:cs="Arial"/>
        </w:rPr>
        <w:t xml:space="preserve">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00B811EF" w:rsidRPr="00B811EF">
        <w:rPr>
          <w:rFonts w:cs="Arial"/>
        </w:rPr>
        <w:t>, e enviar novo orçamento para avaliação e aprovação; </w:t>
      </w:r>
    </w:p>
    <w:p w14:paraId="374C8FC2" w14:textId="400EDAE7" w:rsidR="00B811EF" w:rsidRPr="00B811EF" w:rsidRDefault="00B811EF" w:rsidP="00B811EF">
      <w:pPr>
        <w:spacing w:before="120" w:after="120" w:line="276" w:lineRule="auto"/>
        <w:jc w:val="both"/>
        <w:rPr>
          <w:rFonts w:cs="Arial"/>
        </w:rPr>
      </w:pPr>
      <w:r w:rsidRPr="00B811EF">
        <w:rPr>
          <w:rFonts w:cs="Arial"/>
        </w:rPr>
        <w:t>5.1</w:t>
      </w:r>
      <w:r w:rsidR="000553DD">
        <w:rPr>
          <w:rFonts w:cs="Arial"/>
        </w:rPr>
        <w:t>5</w:t>
      </w:r>
      <w:r w:rsidRPr="00B811EF">
        <w:rPr>
          <w:rFonts w:cs="Arial"/>
        </w:rPr>
        <w:t>.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25C2D7B7" w:rsidR="00B811EF" w:rsidRPr="00B811EF" w:rsidRDefault="00B811EF" w:rsidP="00B811EF">
      <w:pPr>
        <w:spacing w:before="120" w:after="120" w:line="276" w:lineRule="auto"/>
        <w:jc w:val="both"/>
        <w:rPr>
          <w:rFonts w:cs="Arial"/>
        </w:rPr>
      </w:pPr>
      <w:r w:rsidRPr="00B811EF">
        <w:rPr>
          <w:rFonts w:cs="Arial"/>
        </w:rPr>
        <w:t>5.1</w:t>
      </w:r>
      <w:r w:rsidR="00570492">
        <w:rPr>
          <w:rFonts w:cs="Arial"/>
        </w:rPr>
        <w:t>6</w:t>
      </w:r>
      <w:r w:rsidRPr="00B811EF">
        <w:rPr>
          <w:rFonts w:cs="Arial"/>
        </w:rPr>
        <w:t>. Todas as peças e acessórios aplicados nos veículos deverão ser novos, originais do fabricante ou similares de primeira linha e sem uso prévio; </w:t>
      </w:r>
    </w:p>
    <w:p w14:paraId="051F8DD4" w14:textId="58C92FFF" w:rsidR="00B811EF" w:rsidRPr="00B811EF" w:rsidRDefault="00B811EF" w:rsidP="008A37C4">
      <w:pPr>
        <w:spacing w:before="120" w:after="120" w:line="276" w:lineRule="auto"/>
        <w:ind w:left="567"/>
        <w:jc w:val="both"/>
        <w:rPr>
          <w:rFonts w:cs="Arial"/>
        </w:rPr>
      </w:pPr>
      <w:r w:rsidRPr="00B811EF">
        <w:rPr>
          <w:rFonts w:cs="Arial"/>
        </w:rPr>
        <w:t>5.1</w:t>
      </w:r>
      <w:r w:rsidR="00570492">
        <w:rPr>
          <w:rFonts w:cs="Arial"/>
        </w:rPr>
        <w:t>6</w:t>
      </w:r>
      <w:r w:rsidRPr="00B811EF">
        <w:rPr>
          <w:rFonts w:cs="Arial"/>
        </w:rPr>
        <w:t xml:space="preserve">.1.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6B79877B" w:rsidR="00B811EF" w:rsidRPr="00B811EF" w:rsidRDefault="00B811EF" w:rsidP="00B811EF">
      <w:pPr>
        <w:spacing w:before="120" w:after="120" w:line="276" w:lineRule="auto"/>
        <w:jc w:val="both"/>
        <w:rPr>
          <w:rFonts w:cs="Arial"/>
        </w:rPr>
      </w:pPr>
      <w:r w:rsidRPr="00B811EF">
        <w:rPr>
          <w:rFonts w:cs="Arial"/>
        </w:rPr>
        <w:t>5.1</w:t>
      </w:r>
      <w:r w:rsidR="001E5CCC">
        <w:rPr>
          <w:rFonts w:cs="Arial"/>
        </w:rPr>
        <w:t>7</w:t>
      </w:r>
      <w:r w:rsidRPr="00B811EF">
        <w:rPr>
          <w:rFonts w:cs="Arial"/>
        </w:rPr>
        <w:t>. As peças e acessórios, além de novos, originais ou similares de primeira linha e sem uso, deverão ter garantia de fábrica/montadora, e os serviços prestados deverão ter garantia expressa no orçamento da Contratada; </w:t>
      </w:r>
    </w:p>
    <w:p w14:paraId="506A4EAD" w14:textId="6EE5062F" w:rsidR="00B811EF" w:rsidRPr="00B811EF" w:rsidRDefault="00B811EF" w:rsidP="00B811EF">
      <w:pPr>
        <w:spacing w:before="120" w:after="120" w:line="276" w:lineRule="auto"/>
        <w:jc w:val="both"/>
        <w:rPr>
          <w:rFonts w:cs="Arial"/>
        </w:rPr>
      </w:pPr>
      <w:r w:rsidRPr="00B811EF">
        <w:rPr>
          <w:rFonts w:cs="Arial"/>
        </w:rPr>
        <w:t>5.1</w:t>
      </w:r>
      <w:r w:rsidR="001E5CCC">
        <w:rPr>
          <w:rFonts w:cs="Arial"/>
        </w:rPr>
        <w:t>8</w:t>
      </w:r>
      <w:r w:rsidRPr="00B811EF">
        <w:rPr>
          <w:rFonts w:cs="Arial"/>
        </w:rPr>
        <w:t xml:space="preserve">.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545ADBA7"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.1. Fará os levantamentos necessários à comprovação do preço praticado pela Contratada e autorizará a execução dos serviços de reposição ou; </w:t>
      </w:r>
    </w:p>
    <w:p w14:paraId="4357C4A5" w14:textId="3EDFF24A"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w:t>
      </w:r>
      <w:r w:rsidR="00C1270F" w:rsidRPr="00C1270F">
        <w:rPr>
          <w:rFonts w:cs="Arial"/>
          <w:b/>
          <w:bCs/>
          <w:highlight w:val="yellow"/>
        </w:rPr>
        <w:t>2</w:t>
      </w:r>
      <w:r w:rsidRPr="00B811EF">
        <w:rPr>
          <w:rFonts w:cs="Arial"/>
        </w:rPr>
        <w:t>; </w:t>
      </w:r>
    </w:p>
    <w:p w14:paraId="741A8B7F" w14:textId="422DF5F8"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184E104B" w:rsidR="00B811EF" w:rsidRPr="00B811EF" w:rsidRDefault="00B811EF" w:rsidP="00B811EF">
      <w:pPr>
        <w:spacing w:before="120" w:after="120" w:line="276" w:lineRule="auto"/>
        <w:jc w:val="both"/>
        <w:rPr>
          <w:rFonts w:cs="Arial"/>
        </w:rPr>
      </w:pPr>
      <w:r w:rsidRPr="00B811EF">
        <w:rPr>
          <w:rFonts w:cs="Arial"/>
        </w:rPr>
        <w:t>5.1</w:t>
      </w:r>
      <w:r w:rsidR="001E5CCC">
        <w:rPr>
          <w:rFonts w:cs="Arial"/>
        </w:rPr>
        <w:t>9</w:t>
      </w:r>
      <w:r w:rsidRPr="00B811EF">
        <w:rPr>
          <w:rFonts w:cs="Arial"/>
        </w:rPr>
        <w:t xml:space="preserve">.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26A3D5B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.1. Apresentar cópia dos documentos fiscais de compra de peças e acessórios adquiridos e efetivamente utilizados nos veículos da frota do Contratante; </w:t>
      </w:r>
    </w:p>
    <w:p w14:paraId="737A81E0" w14:textId="5151362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 xml:space="preserve">.2.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73651D56" w:rsidR="00B811EF" w:rsidRPr="00B811EF" w:rsidRDefault="00B811EF" w:rsidP="00B811EF">
      <w:pPr>
        <w:spacing w:before="120" w:after="120" w:line="276" w:lineRule="auto"/>
        <w:jc w:val="both"/>
        <w:rPr>
          <w:rFonts w:cs="Arial"/>
        </w:rPr>
      </w:pPr>
      <w:r w:rsidRPr="00B811EF">
        <w:rPr>
          <w:rFonts w:cs="Arial"/>
        </w:rPr>
        <w:lastRenderedPageBreak/>
        <w:t>5.</w:t>
      </w:r>
      <w:r w:rsidR="001E5CCC">
        <w:rPr>
          <w:rFonts w:cs="Arial"/>
        </w:rPr>
        <w:t>20</w:t>
      </w:r>
      <w:r w:rsidRPr="00B811EF">
        <w:rPr>
          <w:rFonts w:cs="Arial"/>
        </w:rPr>
        <w:t>. As peças e acessórios substituídos pela Contratada deverão ser apresentados, quando solicitados, ao Contratante, no ato do recebimento do veículo devidamente consertado; </w:t>
      </w:r>
    </w:p>
    <w:p w14:paraId="1CEC77C7" w14:textId="2BAB89B4" w:rsidR="00B811EF" w:rsidRPr="00B811EF" w:rsidRDefault="00B811EF" w:rsidP="00B811EF">
      <w:pPr>
        <w:spacing w:before="120" w:after="120" w:line="276" w:lineRule="auto"/>
        <w:jc w:val="both"/>
        <w:rPr>
          <w:rFonts w:cs="Arial"/>
        </w:rPr>
      </w:pPr>
      <w:r w:rsidRPr="00B811EF">
        <w:rPr>
          <w:rFonts w:cs="Arial"/>
        </w:rPr>
        <w:t>5.2</w:t>
      </w:r>
      <w:r w:rsidR="001E5CCC">
        <w:rPr>
          <w:rFonts w:cs="Arial"/>
        </w:rPr>
        <w:t>1</w:t>
      </w:r>
      <w:r w:rsidRPr="00B811EF">
        <w:rPr>
          <w:rFonts w:cs="Arial"/>
        </w:rPr>
        <w:t>. Sobre o conceito de peças genuínas, originais e paralelas (1ª linha), define-se: </w:t>
      </w:r>
    </w:p>
    <w:p w14:paraId="5C6BF0E6" w14:textId="01FE774C"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3DE0E7AB"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5E537981" w14:textId="24E37E54" w:rsidR="00421878" w:rsidRPr="00B811EF" w:rsidRDefault="00B811EF" w:rsidP="00866C45">
      <w:pPr>
        <w:spacing w:before="120" w:after="120" w:line="276" w:lineRule="auto"/>
        <w:ind w:left="567"/>
        <w:jc w:val="both"/>
        <w:rPr>
          <w:rFonts w:cs="Arial"/>
        </w:rPr>
      </w:pPr>
      <w:r w:rsidRPr="00B811EF">
        <w:rPr>
          <w:rFonts w:cs="Arial"/>
        </w:rPr>
        <w:t>5.2</w:t>
      </w:r>
      <w:r w:rsidR="001E5CCC">
        <w:rPr>
          <w:rFonts w:cs="Arial"/>
        </w:rPr>
        <w:t>1</w:t>
      </w:r>
      <w:r w:rsidRPr="00B811EF">
        <w:rPr>
          <w:rFonts w:cs="Arial"/>
        </w:rPr>
        <w:t>.3.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014D7384" w14:textId="77777777" w:rsidR="00165F89" w:rsidRDefault="00165F89" w:rsidP="00B811EF">
      <w:pPr>
        <w:spacing w:before="120" w:after="120" w:line="276" w:lineRule="auto"/>
        <w:jc w:val="both"/>
        <w:rPr>
          <w:rFonts w:cs="Arial"/>
          <w:b/>
          <w:bCs/>
          <w:u w:val="single"/>
        </w:rPr>
      </w:pPr>
    </w:p>
    <w:p w14:paraId="421AB30D" w14:textId="4EB14268"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47867748" w:rsidR="00B811EF" w:rsidRPr="00B811EF" w:rsidRDefault="00B811EF" w:rsidP="00B811EF">
      <w:pPr>
        <w:spacing w:before="120" w:after="120" w:line="276" w:lineRule="auto"/>
        <w:jc w:val="both"/>
        <w:rPr>
          <w:rFonts w:cs="Arial"/>
        </w:rPr>
      </w:pPr>
      <w:r w:rsidRPr="00B811EF">
        <w:rPr>
          <w:rFonts w:cs="Arial"/>
        </w:rPr>
        <w:t>5.2</w:t>
      </w:r>
      <w:r w:rsidR="00165F89">
        <w:rPr>
          <w:rFonts w:cs="Arial"/>
        </w:rPr>
        <w:t>2</w:t>
      </w:r>
      <w:r w:rsidRPr="00B811EF">
        <w:rPr>
          <w:rFonts w:cs="Arial"/>
        </w:rPr>
        <w:t>. A Contratada deverá conceder garantia dos serviços prestados e das peças fornecidas, na seguinte conformidade: </w:t>
      </w:r>
    </w:p>
    <w:p w14:paraId="6942CF84" w14:textId="2E0ECB54"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.1. Para os serviços de manutenção preventiva e corretiva, contados a partir da data da efetiva prestação dos serviços, no mínimo 6 (seis) meses; </w:t>
      </w:r>
    </w:p>
    <w:p w14:paraId="3CAB2270" w14:textId="3FA07F57"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.2. Para os serviços de alinhamento de direção e balanceamento, contados a partir da data da efetiva prestação dos serviços, no mínimo 3 (três) meses; </w:t>
      </w:r>
    </w:p>
    <w:p w14:paraId="31888E50" w14:textId="75D7656E" w:rsidR="00B811EF" w:rsidRP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.3. Para os serviços de lanternagem e pintura, contados a partir da data da efetiva prestação dos serviços, no mínimo 6 (seis) meses</w:t>
      </w:r>
      <w:r w:rsidR="00664EF3">
        <w:rPr>
          <w:rFonts w:cs="Arial"/>
        </w:rPr>
        <w:t>;</w:t>
      </w:r>
      <w:r w:rsidRPr="00B811EF">
        <w:rPr>
          <w:rFonts w:cs="Arial"/>
        </w:rPr>
        <w:t> </w:t>
      </w:r>
    </w:p>
    <w:p w14:paraId="499C5060" w14:textId="326E6938" w:rsidR="00B811EF" w:rsidRPr="00B811EF" w:rsidRDefault="00B811EF" w:rsidP="008A37C4">
      <w:pPr>
        <w:spacing w:before="120" w:after="120" w:line="276" w:lineRule="auto"/>
        <w:ind w:left="567"/>
        <w:jc w:val="both"/>
        <w:rPr>
          <w:rFonts w:cs="Arial"/>
        </w:rPr>
      </w:pPr>
      <w:r w:rsidRPr="00B811EF">
        <w:rPr>
          <w:rFonts w:cs="Arial"/>
        </w:rPr>
        <w:lastRenderedPageBreak/>
        <w:t>5.2</w:t>
      </w:r>
      <w:r w:rsidR="00B25CA4">
        <w:rPr>
          <w:rFonts w:cs="Arial"/>
        </w:rPr>
        <w:t>2</w:t>
      </w:r>
      <w:r w:rsidRPr="00B811EF">
        <w:rPr>
          <w:rFonts w:cs="Arial"/>
        </w:rPr>
        <w:t>.4. Para os serviços em motor, câmbio e suspensão, contados a partir da data da efetiva prestação dos serviços, no mínimo 6 (seis) meses; </w:t>
      </w:r>
    </w:p>
    <w:p w14:paraId="61893C9C" w14:textId="0B435E9D" w:rsid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.5. Para as peças, componentes e acessórios, contados a partir da data da efetiva instalação no veículo, no mínimo 3 (três) meses; </w:t>
      </w:r>
    </w:p>
    <w:p w14:paraId="38785D1D" w14:textId="0B7914E7"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6</w:t>
      </w:r>
      <w:r w:rsidRPr="00B811EF">
        <w:rPr>
          <w:rFonts w:cs="Arial"/>
        </w:rPr>
        <w:t>.</w:t>
      </w:r>
      <w:r>
        <w:rPr>
          <w:rFonts w:cs="Arial"/>
        </w:rPr>
        <w:t xml:space="preserve"> </w:t>
      </w:r>
      <w:r w:rsidR="009A22F8" w:rsidRPr="009A22F8">
        <w:rPr>
          <w:rFonts w:cs="Arial"/>
        </w:rPr>
        <w:t>Para os serviços de substituição na parte opaca da blindagem, contados a partir da data da efetiva prestação dos serviços, no mínimo 1 (um) ano</w:t>
      </w:r>
      <w:r w:rsidR="009A22F8">
        <w:rPr>
          <w:rFonts w:cs="Arial"/>
        </w:rPr>
        <w:t>;</w:t>
      </w:r>
    </w:p>
    <w:p w14:paraId="4CE90568" w14:textId="6CE0DC0E"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7</w:t>
      </w:r>
      <w:r w:rsidRPr="00B811EF">
        <w:rPr>
          <w:rFonts w:cs="Arial"/>
        </w:rPr>
        <w:t>.</w:t>
      </w:r>
      <w:r w:rsidR="009A22F8">
        <w:rPr>
          <w:rFonts w:cs="Arial"/>
        </w:rPr>
        <w:t xml:space="preserve"> </w:t>
      </w:r>
      <w:r w:rsidR="009A22F8" w:rsidRPr="009A22F8">
        <w:rPr>
          <w:rFonts w:cs="Arial"/>
        </w:rPr>
        <w:t>Para os serviços de substituição de vidro blindado, contados a partir da data da efetiva prestação dos serviços, no mínimo 6 (seis) meses</w:t>
      </w:r>
      <w:r w:rsidR="009A22F8">
        <w:rPr>
          <w:rFonts w:cs="Arial"/>
        </w:rPr>
        <w:t>;</w:t>
      </w:r>
    </w:p>
    <w:p w14:paraId="3ECAB276" w14:textId="4D0997B1" w:rsidR="00402ABF" w:rsidRPr="00B811E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8</w:t>
      </w:r>
      <w:r w:rsidRPr="00B811EF">
        <w:rPr>
          <w:rFonts w:cs="Arial"/>
        </w:rPr>
        <w:t>.</w:t>
      </w:r>
      <w:r w:rsidR="009A22F8">
        <w:rPr>
          <w:rFonts w:cs="Arial"/>
        </w:rPr>
        <w:t xml:space="preserve"> </w:t>
      </w:r>
      <w:r w:rsidR="009A22F8" w:rsidRPr="009A22F8">
        <w:rPr>
          <w:rFonts w:cs="Arial"/>
        </w:rPr>
        <w:t>Para a integridade dos materiais balísticos, contados a partir da data da efetiva instalação no veículo, no mínimo 3 (três) anos</w:t>
      </w:r>
      <w:r w:rsidR="009A22F8">
        <w:rPr>
          <w:rFonts w:cs="Arial"/>
        </w:rPr>
        <w:t>.</w:t>
      </w:r>
    </w:p>
    <w:p w14:paraId="68E707A2" w14:textId="0E41927D" w:rsidR="00B811EF" w:rsidRPr="00B811EF" w:rsidRDefault="00B811EF" w:rsidP="00B811EF">
      <w:pPr>
        <w:spacing w:before="120" w:after="120" w:line="276" w:lineRule="auto"/>
        <w:jc w:val="both"/>
        <w:rPr>
          <w:rFonts w:cs="Arial"/>
        </w:rPr>
      </w:pPr>
      <w:r w:rsidRPr="00B811EF">
        <w:rPr>
          <w:rFonts w:cs="Arial"/>
        </w:rPr>
        <w:t>5.2</w:t>
      </w:r>
      <w:r w:rsidR="00B25CA4">
        <w:rPr>
          <w:rFonts w:cs="Arial"/>
        </w:rPr>
        <w:t>3</w:t>
      </w:r>
      <w:r w:rsidRPr="00B811EF">
        <w:rPr>
          <w:rFonts w:cs="Arial"/>
        </w:rPr>
        <w:t xml:space="preserve">.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0348B037" w14:textId="52AFB597" w:rsidR="00F14FEE"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lastRenderedPageBreak/>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540550A7"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DB6DCB">
        <w:rPr>
          <w:rFonts w:cs="Arial"/>
        </w:rPr>
        <w:t>;</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lastRenderedPageBreak/>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8C8D23D" w14:textId="77777777" w:rsidR="005A01E6" w:rsidRDefault="005A01E6"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lastRenderedPageBreak/>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lastRenderedPageBreak/>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CDF3711" w14:textId="77777777" w:rsidR="00D84DE4" w:rsidRDefault="00D84DE4" w:rsidP="00B811EF">
      <w:pPr>
        <w:spacing w:before="120" w:after="120" w:line="276" w:lineRule="auto"/>
        <w:jc w:val="both"/>
        <w:rPr>
          <w:rFonts w:cs="Arial"/>
          <w:b/>
          <w:bCs/>
          <w:u w:val="single"/>
        </w:rPr>
      </w:pPr>
    </w:p>
    <w:p w14:paraId="535E4F90" w14:textId="66F55588"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lastRenderedPageBreak/>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67" w:tgtFrame="_blank" w:history="1">
        <w:r w:rsidRPr="00B811EF">
          <w:rPr>
            <w:rStyle w:val="Hyperlink"/>
            <w:rFonts w:cs="Arial"/>
          </w:rPr>
          <w:t>https://www.gov.br/empresas-e-negocios/pt-br/empreendedor</w:t>
        </w:r>
      </w:hyperlink>
      <w:r w:rsidRPr="00B811EF">
        <w:rPr>
          <w:rFonts w:cs="Arial"/>
        </w:rPr>
        <w:t>;</w:t>
      </w:r>
      <w:bookmarkEnd w:id="46"/>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lastRenderedPageBreak/>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lastRenderedPageBreak/>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lastRenderedPageBreak/>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 xml:space="preserve">12.1.9. Manter sigilo sobre todo e qualquer assunto que tomar conhecimento em razão da contratação, de interesse do Contratante ou </w:t>
      </w:r>
      <w:r w:rsidRPr="00B811EF">
        <w:rPr>
          <w:rFonts w:cs="Arial"/>
        </w:rPr>
        <w:lastRenderedPageBreak/>
        <w:t>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099834ED" w14:textId="77777777" w:rsidR="00FC761C" w:rsidRDefault="00FC761C" w:rsidP="00EB5064">
      <w:pPr>
        <w:spacing w:before="120" w:after="120" w:line="276" w:lineRule="auto"/>
        <w:jc w:val="both"/>
        <w:rPr>
          <w:rFonts w:cs="Arial"/>
          <w:b/>
          <w:bCs/>
        </w:rPr>
      </w:pPr>
    </w:p>
    <w:p w14:paraId="5822B7A6" w14:textId="77777777" w:rsidR="00FC761C" w:rsidRDefault="00FC761C" w:rsidP="00EB5064">
      <w:pPr>
        <w:spacing w:before="120" w:after="120" w:line="276" w:lineRule="auto"/>
        <w:jc w:val="both"/>
        <w:rPr>
          <w:rFonts w:cs="Arial"/>
          <w:b/>
          <w:bCs/>
        </w:rPr>
      </w:pPr>
    </w:p>
    <w:p w14:paraId="70BC6738" w14:textId="77777777" w:rsidR="00FC761C" w:rsidRDefault="00FC761C" w:rsidP="00EB5064">
      <w:pPr>
        <w:spacing w:before="120" w:after="120" w:line="276" w:lineRule="auto"/>
        <w:jc w:val="both"/>
        <w:rPr>
          <w:rFonts w:cs="Arial"/>
          <w:b/>
          <w:bCs/>
        </w:rPr>
      </w:pPr>
    </w:p>
    <w:p w14:paraId="1391A15E" w14:textId="77777777" w:rsidR="00FC761C" w:rsidRDefault="00FC761C" w:rsidP="00EB5064">
      <w:pPr>
        <w:spacing w:before="120" w:after="120" w:line="276" w:lineRule="auto"/>
        <w:jc w:val="both"/>
        <w:rPr>
          <w:rFonts w:cs="Arial"/>
          <w:b/>
          <w:bCs/>
        </w:rPr>
      </w:pPr>
    </w:p>
    <w:p w14:paraId="6C776A7A" w14:textId="77777777" w:rsidR="00FC761C" w:rsidRDefault="00FC761C"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lastRenderedPageBreak/>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68"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EB0235">
        <w:rPr>
          <w:b/>
          <w:bCs/>
          <w:sz w:val="24"/>
          <w:szCs w:val="24"/>
        </w:rPr>
        <w:t>empreitada por preço unitário</w:t>
      </w:r>
      <w:r w:rsidRPr="00EB0235">
        <w:rPr>
          <w:sz w:val="24"/>
          <w:szCs w:val="24"/>
        </w:rPr>
        <w:t>.</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69"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3E6D7702" w:rsidR="003C7DE3" w:rsidRPr="00BD7E46" w:rsidRDefault="003C7DE3" w:rsidP="009B50C5">
      <w:pPr>
        <w:pStyle w:val="Nvel2-Red"/>
        <w:numPr>
          <w:ilvl w:val="0"/>
          <w:numId w:val="0"/>
        </w:numPr>
        <w:tabs>
          <w:tab w:val="left" w:pos="4962"/>
        </w:tabs>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w:t>
      </w:r>
      <w:r w:rsidR="00E75907">
        <w:rPr>
          <w:b/>
          <w:bCs/>
          <w:i w:val="0"/>
          <w:iCs w:val="0"/>
          <w:color w:val="auto"/>
          <w:sz w:val="24"/>
          <w:szCs w:val="24"/>
          <w:highlight w:val="yellow"/>
        </w:rPr>
        <w:t>2</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0"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3280B682" w:rsid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 xml:space="preserve">.1. </w:t>
      </w:r>
      <w:r w:rsidR="004766FE" w:rsidRPr="004766FE">
        <w:rPr>
          <w:rFonts w:ascii="Arial" w:eastAsiaTheme="minorEastAsia" w:hAnsi="Arial" w:cs="Arial"/>
          <w:highlight w:val="yellow"/>
        </w:rPr>
        <w:t>É vedada a subcontratação completa do objeto ou da parcela principal da contratação, consistente na execução dos serviços de manutenção preventiva e corretiva dos veículos que compõem a frota do TCESP</w:t>
      </w:r>
      <w:r w:rsidRPr="0093017B">
        <w:rPr>
          <w:rFonts w:ascii="Arial" w:eastAsiaTheme="minorEastAsia" w:hAnsi="Arial" w:cs="Arial"/>
          <w:highlight w:val="yellow"/>
        </w:rPr>
        <w:t>;</w:t>
      </w:r>
    </w:p>
    <w:p w14:paraId="49A95FE8" w14:textId="5B50A828" w:rsidR="004766FE" w:rsidRDefault="004766F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4.1.1.1.</w:t>
      </w:r>
      <w:r w:rsidR="008B0E5E">
        <w:rPr>
          <w:rFonts w:ascii="Arial" w:eastAsiaTheme="minorEastAsia" w:hAnsi="Arial" w:cs="Arial"/>
          <w:highlight w:val="yellow"/>
        </w:rPr>
        <w:t xml:space="preserve"> </w:t>
      </w:r>
      <w:r w:rsidR="008B0E5E" w:rsidRPr="008B0E5E">
        <w:rPr>
          <w:rFonts w:ascii="Arial" w:eastAsiaTheme="minorEastAsia" w:hAnsi="Arial" w:cs="Arial"/>
          <w:highlight w:val="yellow"/>
        </w:rPr>
        <w:t>Excepcionalmente, será admitida a subcontratação de serviços especializados, desde que devidamente justificada pela natureza técnica do serviço, limitada aos seguintes serviços: funilaria, pintura, câmbio, retifica de motor, ar-condicionado, elétrica e tapeçaria</w:t>
      </w:r>
      <w:r w:rsidR="008B0E5E">
        <w:rPr>
          <w:rFonts w:ascii="Arial" w:eastAsiaTheme="minorEastAsia" w:hAnsi="Arial" w:cs="Arial"/>
          <w:highlight w:val="yellow"/>
        </w:rPr>
        <w:t>;</w:t>
      </w:r>
    </w:p>
    <w:p w14:paraId="57EE79AD" w14:textId="4FC0220F" w:rsidR="008B0E5E" w:rsidRDefault="008B0E5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4.1.1.2.</w:t>
      </w:r>
      <w:r w:rsidR="00C153BB">
        <w:rPr>
          <w:rFonts w:ascii="Arial" w:eastAsiaTheme="minorEastAsia" w:hAnsi="Arial" w:cs="Arial"/>
          <w:highlight w:val="yellow"/>
        </w:rPr>
        <w:t xml:space="preserve"> </w:t>
      </w:r>
      <w:r w:rsidR="00C153BB" w:rsidRPr="00C153BB">
        <w:rPr>
          <w:rFonts w:ascii="Arial" w:eastAsiaTheme="minorEastAsia" w:hAnsi="Arial" w:cs="Arial"/>
          <w:highlight w:val="yellow"/>
        </w:rPr>
        <w:t>Para os veículos blindados integrantes da frota, identificados no Anexo A d</w:t>
      </w:r>
      <w:r w:rsidR="00E902F6">
        <w:rPr>
          <w:rFonts w:ascii="Arial" w:eastAsiaTheme="minorEastAsia" w:hAnsi="Arial" w:cs="Arial"/>
          <w:highlight w:val="yellow"/>
        </w:rPr>
        <w:t>o</w:t>
      </w:r>
      <w:r w:rsidR="00C153BB" w:rsidRPr="00C153BB">
        <w:rPr>
          <w:rFonts w:ascii="Arial" w:eastAsiaTheme="minorEastAsia" w:hAnsi="Arial" w:cs="Arial"/>
          <w:highlight w:val="yellow"/>
        </w:rPr>
        <w:t xml:space="preserve"> Termo de Referência, será admitida a subcontratação de serviços de manutenção, reparo ou intervenção quando tais serviços demandarem atuação de empresa certificada e especializada em veículos com blindagem balística</w:t>
      </w:r>
      <w:r w:rsidR="00C153BB">
        <w:rPr>
          <w:rFonts w:ascii="Arial" w:eastAsiaTheme="minorEastAsia" w:hAnsi="Arial" w:cs="Arial"/>
          <w:highlight w:val="yellow"/>
        </w:rPr>
        <w:t>;</w:t>
      </w:r>
    </w:p>
    <w:p w14:paraId="6EC8A931" w14:textId="3B33EEDB"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4.1.1.3</w:t>
      </w:r>
      <w:r w:rsidRPr="007E3E99">
        <w:rPr>
          <w:rFonts w:ascii="Arial" w:eastAsiaTheme="minorEastAsia" w:hAnsi="Arial" w:cs="Arial"/>
          <w:highlight w:val="yellow"/>
        </w:rPr>
        <w:t>.</w:t>
      </w:r>
      <w:r w:rsidR="00D24A79" w:rsidRPr="007E3E99">
        <w:rPr>
          <w:rFonts w:ascii="Calibri" w:eastAsia="MS Mincho" w:hAnsi="Calibri" w:cs="Calibri"/>
          <w:color w:val="E64D4D"/>
          <w:highlight w:val="yellow"/>
          <w:lang w:eastAsia="ja-JP"/>
        </w:rPr>
        <w:t xml:space="preserve"> </w:t>
      </w:r>
      <w:r w:rsidR="00D24A79" w:rsidRPr="007E3E99">
        <w:rPr>
          <w:rFonts w:ascii="Arial" w:eastAsiaTheme="minorEastAsia" w:hAnsi="Arial" w:cs="Arial"/>
          <w:highlight w:val="yellow"/>
        </w:rPr>
        <w:t xml:space="preserve">A subcontratação </w:t>
      </w:r>
      <w:r w:rsidR="00D24A79" w:rsidRPr="00D24A79">
        <w:rPr>
          <w:rFonts w:ascii="Arial" w:eastAsiaTheme="minorEastAsia" w:hAnsi="Arial" w:cs="Arial"/>
          <w:highlight w:val="yellow"/>
        </w:rPr>
        <w:t>relativa aos veículos blindados fica condicionada à comprovação, pela Contratada, de que a empresa subcontratada</w:t>
      </w:r>
      <w:r w:rsidR="00D24A79">
        <w:rPr>
          <w:rFonts w:ascii="Arial" w:eastAsiaTheme="minorEastAsia" w:hAnsi="Arial" w:cs="Arial"/>
          <w:highlight w:val="yellow"/>
        </w:rPr>
        <w:t>:</w:t>
      </w:r>
    </w:p>
    <w:p w14:paraId="2318DFB1" w14:textId="1A41D04F"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sidRPr="00D24A79">
        <w:rPr>
          <w:rFonts w:ascii="Arial" w:eastAsiaTheme="minorEastAsia" w:hAnsi="Arial" w:cs="Arial"/>
          <w:highlight w:val="yellow"/>
        </w:rPr>
        <w:t>I</w:t>
      </w:r>
      <w:r>
        <w:rPr>
          <w:rFonts w:ascii="Arial" w:eastAsiaTheme="minorEastAsia" w:hAnsi="Arial" w:cs="Arial"/>
          <w:highlight w:val="yellow"/>
        </w:rPr>
        <w:t xml:space="preserve">- </w:t>
      </w:r>
      <w:r w:rsidR="004D0C30">
        <w:rPr>
          <w:rFonts w:ascii="Arial" w:eastAsiaTheme="minorEastAsia" w:hAnsi="Arial" w:cs="Arial"/>
          <w:highlight w:val="yellow"/>
        </w:rPr>
        <w:t>P</w:t>
      </w:r>
      <w:r w:rsidRPr="00D24A79">
        <w:rPr>
          <w:rFonts w:ascii="Arial" w:eastAsiaTheme="minorEastAsia" w:hAnsi="Arial" w:cs="Arial"/>
          <w:highlight w:val="yellow"/>
        </w:rPr>
        <w:t>ossui certificação técnica, homologação ou credenciamento junto a fabricante de blindagem ou entidade competente</w:t>
      </w:r>
      <w:r>
        <w:rPr>
          <w:rFonts w:ascii="Arial" w:eastAsiaTheme="minorEastAsia" w:hAnsi="Arial" w:cs="Arial"/>
          <w:highlight w:val="yellow"/>
        </w:rPr>
        <w:t>;</w:t>
      </w:r>
    </w:p>
    <w:p w14:paraId="0892E890" w14:textId="08071F3B"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 xml:space="preserve">II- </w:t>
      </w:r>
      <w:r w:rsidR="004D0C30">
        <w:rPr>
          <w:rFonts w:ascii="Arial" w:eastAsiaTheme="minorEastAsia" w:hAnsi="Arial" w:cs="Arial"/>
          <w:highlight w:val="yellow"/>
        </w:rPr>
        <w:t>D</w:t>
      </w:r>
      <w:r w:rsidR="004D0C30" w:rsidRPr="004D0C30">
        <w:rPr>
          <w:rFonts w:ascii="Arial" w:eastAsiaTheme="minorEastAsia" w:hAnsi="Arial" w:cs="Arial"/>
          <w:highlight w:val="yellow"/>
        </w:rPr>
        <w:t>ispõe de estrutura física, equipamentos e profissionais qualificados para execução de serviços em veículos blindados</w:t>
      </w:r>
      <w:r w:rsidR="004D0C30">
        <w:rPr>
          <w:rFonts w:ascii="Arial" w:eastAsiaTheme="minorEastAsia" w:hAnsi="Arial" w:cs="Arial"/>
          <w:highlight w:val="yellow"/>
        </w:rPr>
        <w:t>;</w:t>
      </w:r>
    </w:p>
    <w:p w14:paraId="200FA470" w14:textId="7C86736B" w:rsidR="004D0C30" w:rsidRDefault="004D0C30"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III- A</w:t>
      </w:r>
      <w:r w:rsidRPr="004D0C30">
        <w:rPr>
          <w:rFonts w:ascii="Arial" w:eastAsiaTheme="minorEastAsia" w:hAnsi="Arial" w:cs="Arial"/>
          <w:highlight w:val="yellow"/>
        </w:rPr>
        <w:t>dota procedimentos compatíveis com as normas de segurança aplicáveis à blindagem balística</w:t>
      </w:r>
      <w:r>
        <w:rPr>
          <w:rFonts w:ascii="Arial" w:eastAsiaTheme="minorEastAsia" w:hAnsi="Arial" w:cs="Arial"/>
          <w:highlight w:val="yellow"/>
        </w:rPr>
        <w:t xml:space="preserve">. </w:t>
      </w:r>
    </w:p>
    <w:p w14:paraId="30BEC0A8" w14:textId="19FBB4B1"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4.1.1.4.</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subcontratação deverá ser previamente submetida à aprovação do Gestor e/ou Comissão de Fiscalização do contrato</w:t>
      </w:r>
      <w:r w:rsidR="00CA3A89">
        <w:rPr>
          <w:rFonts w:ascii="Arial" w:eastAsiaTheme="minorEastAsia" w:hAnsi="Arial" w:cs="Arial"/>
          <w:highlight w:val="yellow"/>
        </w:rPr>
        <w:t>;</w:t>
      </w:r>
    </w:p>
    <w:p w14:paraId="2C02FEDF" w14:textId="22A3ED8E" w:rsidR="00C153BB" w:rsidRPr="0093017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4.1.1.5.</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responsabilidade técnica, operacional e contratual pelos serviços executados, inclusive aqueles realizados por subcontratadas, permanecerá integralmente sob responsabilidade da Contratada</w:t>
      </w:r>
      <w:r w:rsidR="007B4913">
        <w:rPr>
          <w:rFonts w:ascii="Arial" w:eastAsiaTheme="minorEastAsia" w:hAnsi="Arial" w:cs="Arial"/>
          <w:highlight w:val="yellow"/>
        </w:rPr>
        <w:t>.</w:t>
      </w:r>
    </w:p>
    <w:p w14:paraId="136096A6" w14:textId="1EA63D8C"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w:t>
      </w:r>
      <w:r w:rsidR="00B607D5">
        <w:rPr>
          <w:rFonts w:ascii="Arial" w:eastAsiaTheme="minorEastAsia" w:hAnsi="Arial" w:cs="Arial"/>
          <w:highlight w:val="yellow"/>
        </w:rPr>
        <w:t xml:space="preserve"> </w:t>
      </w:r>
      <w:r w:rsidR="00B607D5" w:rsidRPr="00B607D5">
        <w:rPr>
          <w:rFonts w:ascii="Arial" w:eastAsiaTheme="minorEastAsia" w:hAnsi="Arial" w:cs="Arial"/>
          <w:highlight w:val="yellow"/>
        </w:rPr>
        <w:t xml:space="preserve">O Contratante não reconhecerá qualquer vínculo com empresas subcontratadas, sendo que qualquer contato porventura necessário, de natureza técnica, administrativa, financeira ou jurídica que decorra dos trabalhos realizados será mantido exclusivamente com a Contratada, que </w:t>
      </w:r>
      <w:r w:rsidR="00B607D5" w:rsidRPr="00B607D5">
        <w:rPr>
          <w:rFonts w:ascii="Arial" w:eastAsiaTheme="minorEastAsia" w:hAnsi="Arial" w:cs="Arial"/>
          <w:highlight w:val="yellow"/>
        </w:rPr>
        <w:lastRenderedPageBreak/>
        <w:t>responderá por seu pessoal técnico e operacional e, também, por prejuízos e danos que eventualmente estas causarem</w:t>
      </w:r>
      <w:r w:rsidR="00A82997">
        <w:rPr>
          <w:rFonts w:ascii="Arial" w:eastAsiaTheme="minorEastAsia" w:hAnsi="Arial" w:cs="Arial"/>
          <w:highlight w:val="yellow"/>
        </w:rPr>
        <w:t>;</w:t>
      </w:r>
    </w:p>
    <w:p w14:paraId="3DBA05BC" w14:textId="2DB5BA2E"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847C0D">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1"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2"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145A5" w:rsidP="003C7DE3">
      <w:pPr>
        <w:pStyle w:val="Nivel2"/>
        <w:numPr>
          <w:ilvl w:val="0"/>
          <w:numId w:val="0"/>
        </w:numPr>
        <w:ind w:left="360"/>
        <w:jc w:val="center"/>
        <w:rPr>
          <w:color w:val="auto"/>
          <w:sz w:val="24"/>
          <w:szCs w:val="24"/>
        </w:rPr>
      </w:pPr>
      <w:r w:rsidRPr="00E145A5">
        <w:rPr>
          <w:noProof/>
          <w:color w:val="auto"/>
          <w:position w:val="-30"/>
          <w:sz w:val="24"/>
          <w:szCs w:val="24"/>
        </w:rPr>
        <w:object w:dxaOrig="2220" w:dyaOrig="720" w14:anchorId="5EC77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45pt;height:41.45pt;mso-width-percent:0;mso-height-percent:0;mso-width-percent:0;mso-height-percent:0"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Equation.3" ShapeID="_x0000_i1025" DrawAspect="Content" ObjectID="_1838458494" r:id="rId74"/>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5"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lastRenderedPageBreak/>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76"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77"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78"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79"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0"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lastRenderedPageBreak/>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1"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2"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3"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lastRenderedPageBreak/>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4"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5"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86"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 xml:space="preserve">Guardar sigilo sobre todas as informações obtidas em decorrência do cumprimento do contrato, respondendo, administrativa, civil e </w:t>
      </w:r>
      <w:r w:rsidRPr="00EA65D6">
        <w:rPr>
          <w:sz w:val="24"/>
          <w:szCs w:val="24"/>
        </w:rPr>
        <w:lastRenderedPageBreak/>
        <w:t>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87"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88"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89" w:history="1">
        <w:r w:rsidRPr="00EB56E6">
          <w:rPr>
            <w:rStyle w:val="Hyperlink"/>
            <w:sz w:val="24"/>
            <w:szCs w:val="24"/>
          </w:rPr>
          <w:t>Lei nº 12.846, de 2013</w:t>
        </w:r>
      </w:hyperlink>
      <w:r w:rsidRPr="00EB56E6">
        <w:rPr>
          <w:sz w:val="24"/>
          <w:szCs w:val="24"/>
        </w:rPr>
        <w:t xml:space="preserve">, e o </w:t>
      </w:r>
      <w:hyperlink r:id="rId90"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1"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2"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pessoas que se enquadrem nas demais vedações previstas no artigo 14 da </w:t>
      </w:r>
      <w:hyperlink r:id="rId93"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4"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w:t>
      </w:r>
      <w:r w:rsidRPr="00AF3A85">
        <w:rPr>
          <w:i w:val="0"/>
          <w:iCs w:val="0"/>
          <w:color w:val="auto"/>
          <w:sz w:val="24"/>
          <w:szCs w:val="24"/>
        </w:rPr>
        <w:lastRenderedPageBreak/>
        <w:t>tratamentos realizados (</w:t>
      </w:r>
      <w:hyperlink r:id="rId98"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Default="008821FA"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7" w:name="_Hlk170225233"/>
      <w:r w:rsidRPr="009F4809">
        <w:t xml:space="preserve">CLÁUSULA DÉCIMA </w:t>
      </w:r>
      <w:r>
        <w:t>PRIMEIRA</w:t>
      </w:r>
      <w:r w:rsidRPr="009F4809">
        <w:t xml:space="preserve"> – GARANTIA DE EXECUÇÃO (</w:t>
      </w:r>
      <w:hyperlink r:id="rId99"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0"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1"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2"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48"/>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49" w:name="_Ref118297166"/>
      <w:r w:rsidRPr="000A0908">
        <w:rPr>
          <w:i w:val="0"/>
          <w:iCs w:val="0"/>
          <w:color w:val="auto"/>
          <w:sz w:val="24"/>
          <w:szCs w:val="24"/>
        </w:rPr>
        <w:t>A garantia assegurará, qualquer que seja a modalidade escolhida, o pagamento de:</w:t>
      </w:r>
      <w:bookmarkEnd w:id="49"/>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3"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4"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5"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lastRenderedPageBreak/>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7"/>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06"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07"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lastRenderedPageBreak/>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08"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09"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0"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1"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Default="003C7DE3" w:rsidP="003C7DE3">
      <w:pPr>
        <w:keepLines/>
        <w:widowControl w:val="0"/>
        <w:jc w:val="both"/>
        <w:rPr>
          <w:rFonts w:cs="Arial"/>
          <w:b/>
          <w:bCs/>
        </w:rPr>
      </w:pPr>
    </w:p>
    <w:p w14:paraId="24124A75" w14:textId="77777777" w:rsidR="008821FA" w:rsidRPr="00D56F0B" w:rsidRDefault="008821FA"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2"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lastRenderedPageBreak/>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3"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4"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5"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6"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17"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18" w:history="1">
        <w:r w:rsidRPr="00613956">
          <w:rPr>
            <w:rStyle w:val="Hyperlink"/>
            <w:sz w:val="24"/>
            <w:szCs w:val="24"/>
          </w:rPr>
          <w:t>Lei nº 14.133, de 2021</w:t>
        </w:r>
      </w:hyperlink>
      <w:r w:rsidRPr="00613956">
        <w:rPr>
          <w:sz w:val="24"/>
          <w:szCs w:val="24"/>
        </w:rPr>
        <w:t xml:space="preserve">, e disposições regulamentares pertinentes, e, subsidiariamente, as </w:t>
      </w:r>
      <w:r w:rsidRPr="00613956">
        <w:rPr>
          <w:sz w:val="24"/>
          <w:szCs w:val="24"/>
        </w:rPr>
        <w:lastRenderedPageBreak/>
        <w:t xml:space="preserve">disposições contidas na </w:t>
      </w:r>
      <w:hyperlink r:id="rId119"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0"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1" w:history="1">
        <w:r w:rsidRPr="008D2D17">
          <w:rPr>
            <w:rStyle w:val="Hyperlink"/>
            <w:sz w:val="24"/>
            <w:szCs w:val="24"/>
          </w:rPr>
          <w:t>Lei n.º 14.133, de 2021</w:t>
        </w:r>
      </w:hyperlink>
      <w:r w:rsidRPr="008D2D17">
        <w:rPr>
          <w:sz w:val="24"/>
          <w:szCs w:val="24"/>
        </w:rPr>
        <w:t xml:space="preserve">, e ao </w:t>
      </w:r>
      <w:hyperlink r:id="rId122" w:anchor="art8§2" w:history="1">
        <w:r w:rsidRPr="008D2D17">
          <w:rPr>
            <w:rStyle w:val="Hyperlink"/>
            <w:sz w:val="24"/>
            <w:szCs w:val="24"/>
          </w:rPr>
          <w:t>art. 8º, § 2º, da Lei n. 12.527, de 2011</w:t>
        </w:r>
      </w:hyperlink>
      <w:r w:rsidRPr="008D2D17">
        <w:rPr>
          <w:sz w:val="24"/>
          <w:szCs w:val="24"/>
        </w:rPr>
        <w:t xml:space="preserve">, c/c art. 22 do </w:t>
      </w:r>
      <w:hyperlink r:id="rId123"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Default="003C7DE3" w:rsidP="003C7DE3">
      <w:pPr>
        <w:keepLines/>
        <w:widowControl w:val="0"/>
        <w:jc w:val="both"/>
        <w:rPr>
          <w:rFonts w:cs="Arial"/>
        </w:rPr>
      </w:pPr>
    </w:p>
    <w:p w14:paraId="0791B1FB" w14:textId="77777777" w:rsidR="00AD0CDA" w:rsidRPr="00CE0086" w:rsidRDefault="00AD0CDA"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4"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5"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41925FD2" w14:textId="77777777" w:rsidR="001622A6" w:rsidRDefault="001622A6" w:rsidP="00F12216">
      <w:pPr>
        <w:spacing w:after="160" w:line="259" w:lineRule="auto"/>
        <w:rPr>
          <w:rFonts w:cs="Arial"/>
        </w:rPr>
      </w:pPr>
    </w:p>
    <w:p w14:paraId="7CCE747E" w14:textId="77777777" w:rsidR="001622A6" w:rsidRDefault="001622A6" w:rsidP="00F12216">
      <w:pPr>
        <w:spacing w:after="160" w:line="259" w:lineRule="auto"/>
        <w:rPr>
          <w:rFonts w:cs="Arial"/>
        </w:rPr>
      </w:pPr>
    </w:p>
    <w:p w14:paraId="246356BE" w14:textId="77777777" w:rsidR="001622A6" w:rsidRDefault="001622A6" w:rsidP="00F12216">
      <w:pPr>
        <w:spacing w:after="160" w:line="259" w:lineRule="auto"/>
        <w:rPr>
          <w:rFonts w:cs="Arial"/>
        </w:rPr>
      </w:pPr>
    </w:p>
    <w:p w14:paraId="195DD3BB" w14:textId="77777777" w:rsidR="00632580" w:rsidRDefault="00632580" w:rsidP="00F12216">
      <w:pPr>
        <w:spacing w:after="160" w:line="259" w:lineRule="auto"/>
        <w:rPr>
          <w:rFonts w:cs="Arial"/>
        </w:rPr>
      </w:pPr>
    </w:p>
    <w:p w14:paraId="24F6FDF8" w14:textId="77777777" w:rsidR="00632580" w:rsidRDefault="00632580" w:rsidP="00F12216">
      <w:pPr>
        <w:spacing w:after="160" w:line="259" w:lineRule="auto"/>
        <w:rPr>
          <w:rFonts w:cs="Arial"/>
        </w:rPr>
      </w:pPr>
    </w:p>
    <w:p w14:paraId="18BD2C5B" w14:textId="77777777" w:rsidR="00632580" w:rsidRDefault="00632580" w:rsidP="00F12216">
      <w:pPr>
        <w:spacing w:after="160" w:line="259" w:lineRule="auto"/>
        <w:rPr>
          <w:rFonts w:cs="Arial"/>
        </w:rPr>
      </w:pPr>
    </w:p>
    <w:p w14:paraId="6818AAC2" w14:textId="77777777" w:rsidR="0089767D" w:rsidRDefault="0089767D" w:rsidP="00F12216">
      <w:pPr>
        <w:spacing w:after="160" w:line="259" w:lineRule="auto"/>
        <w:rPr>
          <w:rFonts w:cs="Arial"/>
        </w:rPr>
      </w:pPr>
    </w:p>
    <w:p w14:paraId="4848EE9F" w14:textId="77777777" w:rsidR="00632580" w:rsidRDefault="00632580" w:rsidP="00F12216">
      <w:pPr>
        <w:spacing w:after="160" w:line="259" w:lineRule="auto"/>
        <w:rPr>
          <w:rFonts w:cs="Arial"/>
        </w:rPr>
      </w:pPr>
    </w:p>
    <w:p w14:paraId="2B18FFA5" w14:textId="77777777" w:rsidR="001622A6" w:rsidRDefault="001622A6" w:rsidP="00F12216">
      <w:pPr>
        <w:spacing w:after="160" w:line="259" w:lineRule="auto"/>
        <w:rPr>
          <w:rFonts w:cs="Arial"/>
        </w:rPr>
      </w:pPr>
    </w:p>
    <w:p w14:paraId="1389F63E" w14:textId="77777777" w:rsidR="001622A6" w:rsidRDefault="001622A6"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269F4836" w14:textId="77777777" w:rsidR="00EE40DF" w:rsidRDefault="00EE40DF" w:rsidP="00EE40DF">
      <w:pPr>
        <w:rPr>
          <w:rFonts w:eastAsia="Times New Roman" w:cs="Arial"/>
          <w:b/>
          <w:bCs/>
          <w:color w:val="000000"/>
          <w:lang w:eastAsia="pt-BR"/>
        </w:rPr>
      </w:pPr>
    </w:p>
    <w:p w14:paraId="2ED1A508" w14:textId="77777777" w:rsidR="00EE40DF" w:rsidRDefault="00EE40DF" w:rsidP="00EE40DF">
      <w:pPr>
        <w:rPr>
          <w:rFonts w:eastAsia="Times New Roman" w:cs="Arial"/>
          <w:b/>
          <w:bCs/>
          <w:color w:val="000000"/>
          <w:lang w:eastAsia="pt-BR"/>
        </w:rPr>
      </w:pPr>
    </w:p>
    <w:p w14:paraId="2A49309F" w14:textId="77777777" w:rsidR="00EE40DF" w:rsidRDefault="00EE40DF" w:rsidP="00EE40DF">
      <w:pPr>
        <w:rPr>
          <w:rFonts w:eastAsia="Times New Roman" w:cs="Arial"/>
          <w:b/>
          <w:bCs/>
          <w:color w:val="000000"/>
          <w:lang w:eastAsia="pt-BR"/>
        </w:rPr>
      </w:pPr>
    </w:p>
    <w:p w14:paraId="70234721" w14:textId="77777777" w:rsidR="00EE40DF" w:rsidRDefault="00EE40DF" w:rsidP="00EE40DF">
      <w:pPr>
        <w:rPr>
          <w:rFonts w:eastAsia="Times New Roman" w:cs="Arial"/>
          <w:b/>
          <w:bCs/>
          <w:color w:val="000000"/>
          <w:lang w:eastAsia="pt-BR"/>
        </w:rPr>
      </w:pPr>
    </w:p>
    <w:p w14:paraId="2A3E3700" w14:textId="77777777" w:rsidR="00EE40DF" w:rsidRDefault="00EE40DF" w:rsidP="00EE40DF">
      <w:pPr>
        <w:rPr>
          <w:rFonts w:eastAsia="Times New Roman" w:cs="Arial"/>
          <w:b/>
          <w:bCs/>
          <w:color w:val="000000"/>
          <w:lang w:eastAsia="pt-BR"/>
        </w:rPr>
      </w:pPr>
    </w:p>
    <w:p w14:paraId="780F3E75" w14:textId="77777777" w:rsidR="00EE40DF" w:rsidRDefault="00EE40DF" w:rsidP="00EE40DF">
      <w:pPr>
        <w:rPr>
          <w:rFonts w:eastAsia="Times New Roman" w:cs="Arial"/>
          <w:b/>
          <w:bCs/>
          <w:color w:val="000000"/>
          <w:lang w:eastAsia="pt-BR"/>
        </w:rPr>
      </w:pPr>
    </w:p>
    <w:p w14:paraId="4349F1A5" w14:textId="77777777" w:rsidR="00EE40DF" w:rsidRDefault="00EE40DF" w:rsidP="00EE40DF">
      <w:pPr>
        <w:rPr>
          <w:rFonts w:eastAsia="Times New Roman" w:cs="Arial"/>
          <w:b/>
          <w:bCs/>
          <w:color w:val="000000"/>
          <w:lang w:eastAsia="pt-BR"/>
        </w:rPr>
      </w:pPr>
    </w:p>
    <w:p w14:paraId="439C0CFD" w14:textId="77777777" w:rsidR="00EE40DF" w:rsidRDefault="00EE40DF" w:rsidP="00EE40DF">
      <w:pPr>
        <w:rPr>
          <w:rFonts w:eastAsia="Times New Roman" w:cs="Arial"/>
          <w:b/>
          <w:bCs/>
          <w:color w:val="000000"/>
          <w:lang w:eastAsia="pt-BR"/>
        </w:rPr>
      </w:pPr>
    </w:p>
    <w:p w14:paraId="42A6292A" w14:textId="77777777" w:rsidR="00EE40DF" w:rsidRDefault="00EE40DF" w:rsidP="00EE40DF">
      <w:pPr>
        <w:rPr>
          <w:rFonts w:eastAsia="Times New Roman" w:cs="Arial"/>
          <w:b/>
          <w:bCs/>
          <w:color w:val="000000"/>
          <w:lang w:eastAsia="pt-BR"/>
        </w:rPr>
      </w:pPr>
    </w:p>
    <w:p w14:paraId="6197233C" w14:textId="77777777" w:rsidR="00EE40DF" w:rsidRDefault="00EE40DF" w:rsidP="00EE40DF">
      <w:pPr>
        <w:rPr>
          <w:rFonts w:eastAsia="Times New Roman" w:cs="Arial"/>
          <w:b/>
          <w:bCs/>
          <w:color w:val="000000"/>
          <w:lang w:eastAsia="pt-BR"/>
        </w:rPr>
      </w:pPr>
    </w:p>
    <w:p w14:paraId="02154E2A" w14:textId="77777777" w:rsidR="00EE40DF" w:rsidRDefault="00EE40DF" w:rsidP="00EE40DF">
      <w:pPr>
        <w:rPr>
          <w:rFonts w:eastAsia="Times New Roman" w:cs="Arial"/>
          <w:b/>
          <w:bCs/>
          <w:color w:val="000000"/>
          <w:lang w:eastAsia="pt-BR"/>
        </w:rPr>
      </w:pPr>
    </w:p>
    <w:p w14:paraId="54696712" w14:textId="77777777" w:rsidR="00EE40DF" w:rsidRDefault="00EE40DF" w:rsidP="00EE40DF">
      <w:pPr>
        <w:rPr>
          <w:rFonts w:eastAsia="Times New Roman" w:cs="Arial"/>
          <w:b/>
          <w:bCs/>
          <w:color w:val="000000"/>
          <w:lang w:eastAsia="pt-BR"/>
        </w:rPr>
      </w:pPr>
    </w:p>
    <w:p w14:paraId="68D22653" w14:textId="06646453" w:rsidR="00C10268" w:rsidRPr="008D40AF" w:rsidRDefault="00C10268" w:rsidP="00EE40DF">
      <w:pPr>
        <w:jc w:val="center"/>
        <w:rPr>
          <w:rFonts w:eastAsia="Times New Roman" w:cs="Arial"/>
          <w:b/>
          <w:bCs/>
          <w:color w:val="000000"/>
          <w:lang w:eastAsia="pt-BR"/>
        </w:rPr>
      </w:pPr>
      <w:r>
        <w:rPr>
          <w:rFonts w:eastAsia="Times New Roman" w:cs="Arial"/>
          <w:b/>
          <w:bCs/>
          <w:color w:val="000000"/>
          <w:lang w:eastAsia="pt-BR"/>
        </w:rPr>
        <w:lastRenderedPageBreak/>
        <w:t xml:space="preserve">ANEXO </w:t>
      </w:r>
      <w:r w:rsidR="003741C3">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26"/>
      <w:footerReference w:type="default" r:id="rId127"/>
      <w:pgSz w:w="11907" w:h="16840" w:code="9"/>
      <w:pgMar w:top="2126" w:right="1134" w:bottom="851" w:left="2127"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F686" w14:textId="77777777" w:rsidR="007317CB" w:rsidRDefault="007317CB">
      <w:r>
        <w:separator/>
      </w:r>
    </w:p>
  </w:endnote>
  <w:endnote w:type="continuationSeparator" w:id="0">
    <w:p w14:paraId="20C1E909" w14:textId="77777777" w:rsidR="007317CB" w:rsidRDefault="00731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22B5" w14:textId="77777777" w:rsidR="007317CB" w:rsidRDefault="007317CB">
      <w:r>
        <w:separator/>
      </w:r>
    </w:p>
  </w:footnote>
  <w:footnote w:type="continuationSeparator" w:id="0">
    <w:p w14:paraId="6A585605" w14:textId="77777777" w:rsidR="007317CB" w:rsidRDefault="00731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66F"/>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915"/>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C31"/>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69B"/>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1E6"/>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C8D"/>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0C2C"/>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7CB"/>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67D"/>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62"/>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94E"/>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0F"/>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B3E"/>
    <w:rsid w:val="00E14E44"/>
    <w:rsid w:val="00E14F3C"/>
    <w:rsid w:val="00E14F7E"/>
    <w:rsid w:val="00E1528D"/>
    <w:rsid w:val="00E15776"/>
    <w:rsid w:val="00E161B3"/>
    <w:rsid w:val="00E16444"/>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907"/>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35"/>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452"/>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0DF"/>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oleObject" Target="embeddings/oleObject1.bin"/><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legislacao.sp.gov.br/legislacao/dg280202.nsf/5fb5269ed17b47ab83256cfb00501469/6942580fdf794ec903258a830066c0e6?OpenDocument&amp;Highlight=0,68.155"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legislacao.sp.gov.br/legislacao/dg280202.nsf/5fb5269ed17b47ab83256cfb00501469/d26a3c60510da6bc03258905004dd50a?OpenDocument&amp;Highlight=0,67.301"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s://www.gov.br/empresas-e-negocios/pt-br/empreendedor"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legislacao.sp.gov.br/legislacao/dg280202.nsf/5fb5269ed17b47ab83256cfb00501469/d26a3c60510da6bc03258905004dd50a?OpenDocument&amp;Highlight=0,67.301"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leis/l8078compilado.htm" TargetMode="External"/><Relationship Id="rId12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image" Target="media/image1.wmf"/><Relationship Id="rId78" Type="http://schemas.openxmlformats.org/officeDocument/2006/relationships/hyperlink" Target="https://www.planalto.gov.br/ccivil_03/_ato2015-2018/2018/lei/l13709.htm" TargetMode="External"/><Relationship Id="rId81" Type="http://schemas.openxmlformats.org/officeDocument/2006/relationships/hyperlink" Target="https://www.planalto.gov.br/ccivil_03/leis/l8078compilado.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5-2018/2018/lei/l13709.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1-2014/2011/lei/l12527.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in.gov.br/en/web/dou/-/circular-susep-n-662-de-11-de-abril-de-2022-392772088"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LEIS/LCP/Lcp12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1-2014/2013/Lei/L12846.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185</TotalTime>
  <Pages>84</Pages>
  <Words>28222</Words>
  <Characters>152404</Characters>
  <Application>Microsoft Office Word</Application>
  <DocSecurity>0</DocSecurity>
  <Lines>1270</Lines>
  <Paragraphs>360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33</cp:revision>
  <cp:lastPrinted>2024-05-10T18:42:00Z</cp:lastPrinted>
  <dcterms:created xsi:type="dcterms:W3CDTF">2026-04-22T12:32:00Z</dcterms:created>
  <dcterms:modified xsi:type="dcterms:W3CDTF">2026-04-23T17:08:00Z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