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melhor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lastRenderedPageBreak/>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 xml:space="preserve">3 (três) </w:t>
      </w:r>
      <w:r w:rsidRPr="004A4578">
        <w:rPr>
          <w:b/>
          <w:bCs/>
          <w:sz w:val="24"/>
          <w:szCs w:val="24"/>
        </w:rPr>
        <w:lastRenderedPageBreak/>
        <w:t>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w:t>
      </w:r>
      <w:r w:rsidRPr="009D161A">
        <w:rPr>
          <w:i w:val="0"/>
          <w:iCs w:val="0"/>
          <w:color w:val="auto"/>
          <w:sz w:val="24"/>
          <w:szCs w:val="24"/>
        </w:rPr>
        <w:lastRenderedPageBreak/>
        <w:t xml:space="preserve">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 xml:space="preserve">Seção de </w:t>
      </w:r>
      <w:r w:rsidRPr="00032B77">
        <w:rPr>
          <w:b/>
          <w:bCs/>
          <w:i w:val="0"/>
          <w:iCs w:val="0"/>
          <w:color w:val="auto"/>
          <w:sz w:val="24"/>
          <w:szCs w:val="24"/>
        </w:rPr>
        <w:lastRenderedPageBreak/>
        <w:t>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 xml:space="preserve">No julgamento das propostas e da habilitação, o pregoeiro poderá sanar erros ou falhas que não alterem a substância das propostas, dos documentos e </w:t>
      </w:r>
      <w:r w:rsidRPr="00B36518">
        <w:rPr>
          <w:sz w:val="24"/>
          <w:szCs w:val="24"/>
        </w:rPr>
        <w:lastRenderedPageBreak/>
        <w:t>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2581E05B"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componentes, etc. durante a vigência contratual é de </w:t>
            </w:r>
            <w:r w:rsidRPr="008328B3">
              <w:rPr>
                <w:rFonts w:cs="Arial"/>
                <w:sz w:val="18"/>
                <w:szCs w:val="18"/>
                <w:highlight w:val="yellow"/>
              </w:rPr>
              <w:t xml:space="preserve">R$ </w:t>
            </w:r>
            <w:commentRangeStart w:id="47"/>
            <w:r w:rsidR="0090149C" w:rsidRPr="0090149C">
              <w:rPr>
                <w:rFonts w:cs="Arial"/>
                <w:sz w:val="18"/>
                <w:szCs w:val="18"/>
                <w:highlight w:val="yellow"/>
              </w:rPr>
              <w:t>391.069,44 (trezentos e noventa e um mil e sessenta e nove reais e quarenta e quatro centavos</w:t>
            </w:r>
            <w:commentRangeEnd w:id="47"/>
            <w:r w:rsidR="006F6DC4" w:rsidRPr="0090149C">
              <w:rPr>
                <w:rStyle w:val="Refdecomentrio"/>
                <w:rFonts w:cs="Arial"/>
                <w:sz w:val="18"/>
                <w:szCs w:val="18"/>
                <w:highlight w:val="yellow"/>
              </w:rPr>
              <w:commentReference w:id="47"/>
            </w:r>
            <w:r w:rsidR="0090149C" w:rsidRPr="0090149C">
              <w:rPr>
                <w:rFonts w:cs="Arial"/>
                <w:sz w:val="18"/>
                <w:szCs w:val="18"/>
                <w:highlight w:val="yellow"/>
              </w:rPr>
              <w:t>)</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8"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693B86">
      <w:pPr>
        <w:spacing w:before="120" w:after="120" w:line="276" w:lineRule="auto"/>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t xml:space="preserve">A distância de até 10 (dez) quilômetros é percorrida em, considerando que a velocidade média de tráfego em áreas urbanas varia entre 18 km/h </w:t>
      </w:r>
      <w:r w:rsidRPr="00E1528D">
        <w:rPr>
          <w:rFonts w:cs="Arial"/>
        </w:rPr>
        <w:lastRenderedPageBreak/>
        <w:t>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t>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pastilhas, etc.)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t xml:space="preserve">Logo, acréscimos da distância permitida, assim como a ausência de limitação, aumentam proporcionalmente os custos, tendo ainda que se </w:t>
      </w:r>
      <w:r w:rsidRPr="00E1528D">
        <w:rPr>
          <w:rFonts w:cs="Arial"/>
        </w:rPr>
        <w:lastRenderedPageBreak/>
        <w:t>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4.6.2.4. Fiscalização do contrato: Uma oficina próxima permite visitas técnicas frequentes, acompanhamento presencial das etapas de manutenção, verificação das instalações, pessoal, peças utilizadas, etc.,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lastRenderedPageBreak/>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Default="00B811EF" w:rsidP="00B811EF">
      <w:pPr>
        <w:spacing w:before="120" w:after="120" w:line="276" w:lineRule="auto"/>
        <w:jc w:val="both"/>
        <w:rPr>
          <w:rFonts w:cs="Arial"/>
        </w:rPr>
      </w:pPr>
      <w:r w:rsidRPr="00B811EF">
        <w:rPr>
          <w:rFonts w:cs="Arial"/>
        </w:rPr>
        <w:t> </w:t>
      </w:r>
    </w:p>
    <w:p w14:paraId="2CD3E9D3" w14:textId="77777777" w:rsidR="00421878" w:rsidRPr="00B811EF" w:rsidRDefault="00421878" w:rsidP="00B811EF">
      <w:pPr>
        <w:spacing w:before="120" w:after="120" w:line="276" w:lineRule="auto"/>
        <w:jc w:val="both"/>
        <w:rPr>
          <w:rFonts w:cs="Arial"/>
        </w:rPr>
      </w:pP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 xml:space="preserve">5.2.1.3. A manutenção preventiva deverá ser organizada através de fichas padronizadas de controle, além de outros expedientes julgados </w:t>
      </w:r>
      <w:r w:rsidRPr="00B811EF">
        <w:rPr>
          <w:rFonts w:cs="Arial"/>
        </w:rPr>
        <w:lastRenderedPageBreak/>
        <w:t>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lastRenderedPageBreak/>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lastRenderedPageBreak/>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lastRenderedPageBreak/>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lastRenderedPageBreak/>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5.20.1.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2A8B0917" w14:textId="6925301B" w:rsidR="00710DA1" w:rsidRDefault="00B811EF" w:rsidP="00F14FEE">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0F30CB73" w14:textId="77777777" w:rsidR="00421878" w:rsidRDefault="00421878" w:rsidP="00F14FEE">
      <w:pPr>
        <w:spacing w:before="120" w:after="120" w:line="276" w:lineRule="auto"/>
        <w:ind w:left="567"/>
        <w:jc w:val="both"/>
        <w:rPr>
          <w:rFonts w:cs="Arial"/>
        </w:rPr>
      </w:pPr>
    </w:p>
    <w:p w14:paraId="5133E78A" w14:textId="77777777" w:rsidR="00421878" w:rsidRDefault="00421878" w:rsidP="00F14FEE">
      <w:pPr>
        <w:spacing w:before="120" w:after="120" w:line="276" w:lineRule="auto"/>
        <w:ind w:left="567"/>
        <w:jc w:val="both"/>
        <w:rPr>
          <w:rFonts w:cs="Arial"/>
        </w:rPr>
      </w:pPr>
    </w:p>
    <w:p w14:paraId="5E537981" w14:textId="77777777" w:rsidR="00421878" w:rsidRPr="00B811EF" w:rsidRDefault="00421878" w:rsidP="00F14FEE">
      <w:pPr>
        <w:spacing w:before="120" w:after="120" w:line="276" w:lineRule="auto"/>
        <w:ind w:left="567"/>
        <w:jc w:val="both"/>
        <w:rPr>
          <w:rFonts w:cs="Arial"/>
        </w:rPr>
      </w:pP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Default="00B811EF" w:rsidP="00B811EF">
      <w:pPr>
        <w:spacing w:before="120" w:after="120" w:line="276" w:lineRule="auto"/>
        <w:jc w:val="both"/>
        <w:rPr>
          <w:rFonts w:cs="Arial"/>
        </w:rPr>
      </w:pPr>
      <w:r w:rsidRPr="00B811EF">
        <w:rPr>
          <w:rFonts w:cs="Arial"/>
        </w:rPr>
        <w:t> </w:t>
      </w:r>
    </w:p>
    <w:p w14:paraId="0348B037" w14:textId="77777777" w:rsidR="00F14FEE" w:rsidRPr="00B811EF" w:rsidRDefault="00F14FEE" w:rsidP="00B811EF">
      <w:pPr>
        <w:spacing w:before="120" w:after="120" w:line="276" w:lineRule="auto"/>
        <w:jc w:val="both"/>
        <w:rPr>
          <w:rFonts w:cs="Arial"/>
        </w:rPr>
      </w:pP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commentRangeStart w:id="49"/>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commentRangeEnd w:id="49"/>
      <w:r w:rsidR="006F6DC4" w:rsidRPr="00B811EF">
        <w:rPr>
          <w:rStyle w:val="Refdecomentrio"/>
          <w:rFonts w:cs="Arial"/>
          <w:sz w:val="24"/>
          <w:szCs w:val="24"/>
        </w:rPr>
        <w:commentReference w:id="49"/>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lastRenderedPageBreak/>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 xml:space="preserve">7.1. Os serviços prestados pela Contratada serão avaliados conforme Avaliação da Qualidade dos Serviços (Anexo B), que será elaborado pelo Contratante por </w:t>
      </w:r>
      <w:r w:rsidRPr="00B811EF">
        <w:rPr>
          <w:rFonts w:cs="Arial"/>
        </w:rPr>
        <w:lastRenderedPageBreak/>
        <w:t>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 xml:space="preserve">7.9. Não será iniciada a contagem de prazo para pagamento, caso os documentos fiscais apresentados ou outros necessários à contratação contenham incorreções </w:t>
      </w:r>
      <w:r w:rsidRPr="00B811EF">
        <w:rPr>
          <w:rFonts w:cs="Arial"/>
        </w:rPr>
        <w:lastRenderedPageBreak/>
        <w:t>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535E4F90" w14:textId="651CA4FE" w:rsidR="00B811EF" w:rsidRPr="00B811EF" w:rsidRDefault="00B811EF" w:rsidP="00B811EF">
      <w:pPr>
        <w:spacing w:before="120" w:after="120" w:line="276" w:lineRule="auto"/>
        <w:jc w:val="both"/>
        <w:rPr>
          <w:rFonts w:cs="Arial"/>
        </w:rPr>
      </w:pPr>
      <w:r w:rsidRPr="00B811EF">
        <w:rPr>
          <w:rFonts w:cs="Arial"/>
          <w:b/>
          <w:bCs/>
          <w:u w:val="single"/>
        </w:rPr>
        <w:lastRenderedPageBreak/>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2" w:tgtFrame="_blank" w:history="1">
        <w:r w:rsidRPr="00B811EF">
          <w:rPr>
            <w:rStyle w:val="Hyperlink"/>
            <w:rFonts w:cs="Arial"/>
          </w:rPr>
          <w:t>https://www.gov.br/empresas-e-negocios/pt-br/empreendedor</w:t>
        </w:r>
      </w:hyperlink>
      <w:r w:rsidRPr="00B811EF">
        <w:rPr>
          <w:rFonts w:cs="Arial"/>
        </w:rPr>
        <w:t>;</w:t>
      </w:r>
      <w:bookmarkEnd w:id="48"/>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xml:space="preserve">. Prova de regularidade fiscal perante a Fazenda Nacional, mediante apresentação de certidão expedida conjuntamente pela Secretaria da Receita </w:t>
      </w:r>
      <w:r w:rsidRPr="00B811EF">
        <w:rPr>
          <w:rFonts w:cs="Arial"/>
        </w:rPr>
        <w:lastRenderedPageBreak/>
        <w:t>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lastRenderedPageBreak/>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 xml:space="preserve">11.1.1.1. A fiscalização não exclui nem reduz a responsabilidade da Contratada, inclusive perante terceiros, por qualquer irregularidade, ainda que resultante de imperfeições técnicas, vícios redibitórios, ou </w:t>
      </w:r>
      <w:r w:rsidRPr="00B811EF">
        <w:rPr>
          <w:rFonts w:cs="Arial"/>
        </w:rPr>
        <w:lastRenderedPageBreak/>
        <w:t>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lastRenderedPageBreak/>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lastRenderedPageBreak/>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3"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4"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5"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6BAF78F6"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.1. É vedada a subcontratação completa ou da parcela principal do objeto da contratação, a qual consiste em: manutenção preventiva e corretiva dos veículos que compõem a frota do TCESP;</w:t>
      </w:r>
    </w:p>
    <w:p w14:paraId="136096A6" w14:textId="366C0132"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 A subcontratação fica limitada aos seguintes serviços: funilaria, pintura, câmbio, retifica de motor, ar-condicionado, elétrica e tapeçaria</w:t>
      </w:r>
      <w:r w:rsidR="00A82997">
        <w:rPr>
          <w:rFonts w:ascii="Arial" w:eastAsiaTheme="minorEastAsia" w:hAnsi="Arial" w:cs="Arial"/>
          <w:highlight w:val="yellow"/>
        </w:rPr>
        <w:t>;</w:t>
      </w:r>
    </w:p>
    <w:p w14:paraId="60B844E7" w14:textId="029AD4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627B6E6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4</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308B0C03"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5</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 xml:space="preserve">diretas e indiretas decorrentes da execução do objeto, inclusive tributos e/ou impostos, encargos sociais, trabalhistas, previdenciários, fiscais e comerciais incidentes, </w:t>
      </w:r>
      <w:r w:rsidRPr="00300D77">
        <w:rPr>
          <w:i w:val="0"/>
          <w:iCs w:val="0"/>
          <w:color w:val="auto"/>
          <w:sz w:val="24"/>
          <w:szCs w:val="24"/>
        </w:rPr>
        <w:lastRenderedPageBreak/>
        <w:t>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7"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95pt;height:41.95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37595340" r:id="rId79"/>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lastRenderedPageBreak/>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0"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lastRenderedPageBreak/>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1"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2"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3"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4"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5"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6"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lastRenderedPageBreak/>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7"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8"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lastRenderedPageBreak/>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0"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1"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2"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3"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w:t>
      </w:r>
      <w:r w:rsidRPr="00EB56E6">
        <w:rPr>
          <w:sz w:val="24"/>
          <w:szCs w:val="24"/>
        </w:rPr>
        <w:lastRenderedPageBreak/>
        <w:t>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4" w:history="1">
        <w:r w:rsidRPr="00EB56E6">
          <w:rPr>
            <w:rStyle w:val="Hyperlink"/>
            <w:sz w:val="24"/>
            <w:szCs w:val="24"/>
          </w:rPr>
          <w:t>Lei nº 12.846, de 2013</w:t>
        </w:r>
      </w:hyperlink>
      <w:r w:rsidRPr="00EB56E6">
        <w:rPr>
          <w:sz w:val="24"/>
          <w:szCs w:val="24"/>
        </w:rPr>
        <w:t xml:space="preserve">, e o </w:t>
      </w:r>
      <w:hyperlink r:id="rId95"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98"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9"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lastRenderedPageBreak/>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50" w:name="_Hlk170225233"/>
      <w:r w:rsidRPr="009F4809">
        <w:t xml:space="preserve">CLÁUSULA DÉCIMA </w:t>
      </w:r>
      <w:r>
        <w:t>PRIMEIRA</w:t>
      </w:r>
      <w:r w:rsidRPr="009F4809">
        <w:t xml:space="preserve"> – GARANTIA DE EXECUÇÃO (</w:t>
      </w:r>
      <w:hyperlink r:id="rId104"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5"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 xml:space="preserve">do contrato, observando-se para a definição e aplicação desse </w:t>
      </w:r>
      <w:r w:rsidR="003C7DE3" w:rsidRPr="00E01388">
        <w:rPr>
          <w:i w:val="0"/>
          <w:iCs w:val="0"/>
          <w:color w:val="auto"/>
          <w:sz w:val="24"/>
          <w:szCs w:val="24"/>
        </w:rPr>
        <w:lastRenderedPageBreak/>
        <w:t>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2" w:name="_Ref118297166"/>
      <w:r w:rsidRPr="000A0908">
        <w:rPr>
          <w:i w:val="0"/>
          <w:iCs w:val="0"/>
          <w:color w:val="auto"/>
          <w:sz w:val="24"/>
          <w:szCs w:val="24"/>
        </w:rPr>
        <w:t>A garantia assegurará, qualquer que seja a modalidade escolhida, o pagamento de:</w:t>
      </w:r>
      <w:bookmarkEnd w:id="52"/>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8"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w:t>
      </w:r>
      <w:r w:rsidRPr="00623ABB">
        <w:rPr>
          <w:i w:val="0"/>
          <w:iCs w:val="0"/>
          <w:color w:val="auto"/>
          <w:sz w:val="24"/>
          <w:szCs w:val="24"/>
        </w:rPr>
        <w:lastRenderedPageBreak/>
        <w:t xml:space="preserve">de seguro, nos termos do </w:t>
      </w:r>
      <w:hyperlink r:id="rId109"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0"/>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1"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2"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3"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4"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 xml:space="preserve">A extinção do contrato não configura óbice para o reconhecimento de eventual desequilíbrio econômico-financeiro, hipótese em que será concedida </w:t>
      </w:r>
      <w:r w:rsidRPr="00FC5734">
        <w:rPr>
          <w:color w:val="auto"/>
          <w:sz w:val="24"/>
          <w:szCs w:val="24"/>
        </w:rPr>
        <w:lastRenderedPageBreak/>
        <w:t>indenização por meio de termo indenizatório (</w:t>
      </w:r>
      <w:hyperlink r:id="rId115"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7"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commentRangeStart w:id="53"/>
      <w:r>
        <w:rPr>
          <w:rFonts w:cs="Arial"/>
          <w:b/>
          <w:bCs/>
          <w:kern w:val="28"/>
          <w:highlight w:val="yellow"/>
        </w:rPr>
        <w:t>A</w:t>
      </w:r>
      <w:commentRangeEnd w:id="53"/>
      <w:r w:rsidR="006F6DC4">
        <w:rPr>
          <w:rStyle w:val="Refdecomentrio"/>
          <w:rFonts w:cs="Arial"/>
          <w:b/>
          <w:bCs/>
          <w:kern w:val="28"/>
          <w:sz w:val="24"/>
          <w:szCs w:val="24"/>
          <w:highlight w:val="yellow"/>
        </w:rPr>
        <w:commentReference w:id="53"/>
      </w:r>
      <w:r>
        <w:rPr>
          <w:rFonts w:cs="Arial"/>
          <w:b/>
          <w:bCs/>
          <w:kern w:val="28"/>
          <w:highlight w:val="yellow"/>
        </w:rPr>
        <w:t xml:space="preserve">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1"/>
      <w:footerReference w:type="default" r:id="rId132"/>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Caroline Zentner" w:date="2026-04-13T14:18:00Z" w:initials="CZ">
    <w:p w14:paraId="05C41CE3" w14:textId="77777777" w:rsidR="006F6DC4" w:rsidRDefault="006F6DC4" w:rsidP="006F6DC4">
      <w:pPr>
        <w:pStyle w:val="Textodecomentrio"/>
      </w:pPr>
      <w:r>
        <w:rPr>
          <w:rStyle w:val="Refdecomentrio"/>
        </w:rPr>
        <w:annotationRef/>
      </w:r>
      <w:r>
        <w:t>Acredito que aqui seja somente o valor das peças que é 184.225,00</w:t>
      </w:r>
    </w:p>
  </w:comment>
  <w:comment w:id="49" w:author="Caroline Zentner" w:date="2026-04-13T14:20:00Z" w:initials="CZ">
    <w:p w14:paraId="44D0F819" w14:textId="77777777" w:rsidR="006F6DC4" w:rsidRDefault="006F6DC4" w:rsidP="006F6DC4">
      <w:pPr>
        <w:pStyle w:val="Textodecomentrio"/>
      </w:pPr>
      <w:r>
        <w:rPr>
          <w:rStyle w:val="Refdecomentrio"/>
        </w:rPr>
        <w:annotationRef/>
      </w:r>
      <w:r>
        <w:t xml:space="preserve">Acho que não seria necessário acrescentar esse prazo no TR, se já está previsto no contrato. </w:t>
      </w:r>
    </w:p>
  </w:comment>
  <w:comment w:id="53" w:author="Caroline Zentner" w:date="2026-04-13T14:22:00Z" w:initials="CZ">
    <w:p w14:paraId="70701D82" w14:textId="77777777" w:rsidR="006F6DC4" w:rsidRDefault="006F6DC4" w:rsidP="006F6DC4">
      <w:pPr>
        <w:pStyle w:val="Textodecomentrio"/>
      </w:pPr>
      <w:r>
        <w:rPr>
          <w:rStyle w:val="Refdecomentrio"/>
        </w:rPr>
        <w:annotationRef/>
      </w:r>
      <w:r>
        <w:t>Para mim está aparecendo na mesma página do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41CE3" w15:done="0"/>
  <w15:commentEx w15:paraId="44D0F819" w15:done="0"/>
  <w15:commentEx w15:paraId="70701D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7AE61" w16cex:dateUtc="2026-04-13T17:18:00Z"/>
  <w16cex:commentExtensible w16cex:durableId="5B8418AA" w16cex:dateUtc="2026-04-13T17:20:00Z"/>
  <w16cex:commentExtensible w16cex:durableId="3C37FB39" w16cex:dateUtc="2026-04-13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41CE3" w16cid:durableId="6C67AE61"/>
  <w16cid:commentId w16cid:paraId="44D0F819" w16cid:durableId="5B8418AA"/>
  <w16cid:commentId w16cid:paraId="70701D82" w16cid:durableId="3C37FB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5D85" w14:textId="77777777" w:rsidR="00EA0A00" w:rsidRDefault="00EA0A00">
      <w:r>
        <w:separator/>
      </w:r>
    </w:p>
  </w:endnote>
  <w:endnote w:type="continuationSeparator" w:id="0">
    <w:p w14:paraId="6FC6262E" w14:textId="77777777" w:rsidR="00EA0A00" w:rsidRDefault="00EA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2242" w14:textId="77777777" w:rsidR="00EA0A00" w:rsidRDefault="00EA0A00">
      <w:r>
        <w:separator/>
      </w:r>
    </w:p>
  </w:footnote>
  <w:footnote w:type="continuationSeparator" w:id="0">
    <w:p w14:paraId="5327BCC9" w14:textId="77777777" w:rsidR="00EA0A00" w:rsidRDefault="00EA0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9EB"/>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01"/>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28D"/>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comments" Target="comments.xm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legislacao.sp.gov.br/legislacao/dg280202.nsf/5fb5269ed17b47ab83256cfb00501469/d26a3c60510da6bc03258905004dd50a?OpenDocument&amp;Highlight=0,67.301"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1/relationships/commentsExtended" Target="commentsExtended.xm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legislacao.sp.gov.br/legislacao/dg280202.nsf/5fb5269ed17b47ab83256cfb00501469/d26a3c60510da6bc03258905004dd50a?OpenDocument&amp;Highlight=0,67.301"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6/09/relationships/commentsIds" Target="commentsIds.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1.wmf"/><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8/08/relationships/commentsExtensible" Target="commentsExtensible.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1986</TotalTime>
  <Pages>82</Pages>
  <Words>26968</Words>
  <Characters>151562</Characters>
  <Application>Microsoft Office Word</Application>
  <DocSecurity>0</DocSecurity>
  <Lines>4096</Lines>
  <Paragraphs>2288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Caroline Zentner</cp:lastModifiedBy>
  <cp:revision>498</cp:revision>
  <cp:lastPrinted>2024-05-10T18:42:00Z</cp:lastPrinted>
  <dcterms:created xsi:type="dcterms:W3CDTF">2025-06-23T16:57:00Z</dcterms:created>
  <dcterms:modified xsi:type="dcterms:W3CDTF">2026-04-13T17:23:00Z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