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1D227B8"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a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sidR="00792DA7">
        <w:rPr>
          <w:b/>
          <w:bCs/>
          <w:color w:val="auto"/>
          <w:sz w:val="24"/>
          <w:szCs w:val="24"/>
          <w:highlight w:val="red"/>
        </w:rPr>
        <w:t>2.</w:t>
      </w:r>
      <w:r w:rsidR="00306B13">
        <w:rPr>
          <w:b/>
          <w:bCs/>
          <w:color w:val="auto"/>
          <w:sz w:val="24"/>
          <w:szCs w:val="24"/>
          <w:highlight w:val="red"/>
        </w:rPr>
        <w:t>60</w:t>
      </w:r>
      <w:r w:rsidR="00792DA7">
        <w:rPr>
          <w:b/>
          <w:bCs/>
          <w:color w:val="auto"/>
          <w:sz w:val="24"/>
          <w:szCs w:val="24"/>
          <w:highlight w:val="red"/>
        </w:rPr>
        <w:t>0,00</w:t>
      </w:r>
      <w:r w:rsidRPr="000F3E41">
        <w:rPr>
          <w:b/>
          <w:bCs/>
          <w:color w:val="auto"/>
          <w:sz w:val="24"/>
          <w:szCs w:val="24"/>
          <w:highlight w:val="red"/>
        </w:rPr>
        <w:t xml:space="preserve"> </w:t>
      </w:r>
      <w:r w:rsidRPr="000F3E41">
        <w:rPr>
          <w:color w:val="auto"/>
          <w:sz w:val="24"/>
          <w:szCs w:val="24"/>
          <w:highlight w:val="red"/>
        </w:rPr>
        <w:t>(</w:t>
      </w:r>
      <w:r w:rsidR="00792DA7">
        <w:rPr>
          <w:color w:val="auto"/>
          <w:sz w:val="24"/>
          <w:szCs w:val="24"/>
          <w:highlight w:val="red"/>
        </w:rPr>
        <w:t>d</w:t>
      </w:r>
      <w:r w:rsidR="00792DA7" w:rsidRPr="00792DA7">
        <w:rPr>
          <w:color w:val="auto"/>
          <w:sz w:val="24"/>
          <w:szCs w:val="24"/>
          <w:highlight w:val="red"/>
        </w:rPr>
        <w:t xml:space="preserve">ois mil e </w:t>
      </w:r>
      <w:r w:rsidR="00306B13">
        <w:rPr>
          <w:color w:val="auto"/>
          <w:sz w:val="24"/>
          <w:szCs w:val="24"/>
          <w:highlight w:val="red"/>
        </w:rPr>
        <w:t>seiscentos</w:t>
      </w:r>
      <w:r w:rsidR="00792DA7" w:rsidRPr="00792DA7">
        <w:rPr>
          <w:color w:val="auto"/>
          <w:sz w:val="24"/>
          <w:szCs w:val="24"/>
          <w:highlight w:val="red"/>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3019C703"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w:t>
      </w:r>
      <w:r w:rsidRPr="00B36518">
        <w:rPr>
          <w:sz w:val="24"/>
          <w:szCs w:val="24"/>
        </w:rPr>
        <w:lastRenderedPageBreak/>
        <w:t xml:space="preserve">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4FF8651"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w:t>
      </w:r>
      <w:r w:rsidRPr="00B36518">
        <w:rPr>
          <w:sz w:val="24"/>
          <w:szCs w:val="24"/>
        </w:rPr>
        <w:lastRenderedPageBreak/>
        <w:t xml:space="preserve">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lastRenderedPageBreak/>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commentRangeStart w:id="48"/>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2535E4">
      <w:pPr>
        <w:pStyle w:val="textojustificado"/>
        <w:spacing w:before="120" w:beforeAutospacing="0" w:after="120" w:afterAutospacing="0"/>
        <w:ind w:left="1276" w:right="120"/>
        <w:jc w:val="both"/>
        <w:rPr>
          <w:rFonts w:ascii="Arial" w:hAnsi="Arial" w:cs="Arial"/>
          <w:color w:val="000000"/>
        </w:rPr>
      </w:pPr>
      <w:r w:rsidRPr="00F42977">
        <w:rPr>
          <w:rFonts w:ascii="Arial" w:hAnsi="Arial" w:cs="Arial"/>
          <w:color w:val="000000"/>
          <w:highlight w:val="yellow"/>
        </w:rPr>
        <w:t>4.3.4.5. Assinatura do representante do TCESP.</w:t>
      </w:r>
      <w:commentRangeEnd w:id="48"/>
      <w:r w:rsidR="002535E4" w:rsidRPr="00F42977">
        <w:rPr>
          <w:rStyle w:val="Refdecomentrio"/>
          <w:rFonts w:ascii="Arial" w:hAnsi="Arial" w:cs="Arial"/>
          <w:color w:val="000000"/>
          <w:sz w:val="24"/>
          <w:szCs w:val="24"/>
        </w:rPr>
        <w:commentReference w:id="48"/>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5.1.2. Segundo as boas práticas da área é recomendado o revezamento a cada 20 minutos com no mínimo 2 (dois) profissionais em eventos com duração </w:t>
      </w:r>
      <w:r w:rsidRPr="004543C5">
        <w:rPr>
          <w:rFonts w:ascii="Arial" w:hAnsi="Arial" w:cs="Arial"/>
          <w:color w:val="000000"/>
        </w:rPr>
        <w:lastRenderedPageBreak/>
        <w:t>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xml:space="preserve">, para a realização dos ajustes </w:t>
      </w:r>
      <w:r w:rsidRPr="004543C5">
        <w:rPr>
          <w:rFonts w:ascii="Arial" w:hAnsi="Arial" w:cs="Arial"/>
          <w:color w:val="000000"/>
        </w:rPr>
        <w:lastRenderedPageBreak/>
        <w:t>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65E2FFAF"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1F526781" w14:textId="77777777" w:rsidR="007D537E" w:rsidRPr="004543C5" w:rsidRDefault="007D537E" w:rsidP="004543C5">
      <w:pPr>
        <w:pStyle w:val="textojustificado"/>
        <w:spacing w:before="120" w:beforeAutospacing="0" w:after="120" w:afterAutospacing="0"/>
        <w:ind w:left="120" w:right="120"/>
        <w:jc w:val="both"/>
        <w:rPr>
          <w:rFonts w:ascii="Arial" w:hAnsi="Arial" w:cs="Arial"/>
          <w:color w:val="000000"/>
        </w:rPr>
      </w:pP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6.2.4. Manter a disciplina entre os seus funcionários, que deverão comportar-se com urbanidade e civilidade, zelando pelo ambiente de trabalho e mantendo </w:t>
      </w:r>
      <w:r w:rsidRPr="004543C5">
        <w:rPr>
          <w:rFonts w:ascii="Arial" w:hAnsi="Arial" w:cs="Arial"/>
          <w:color w:val="000000"/>
        </w:rPr>
        <w:lastRenderedPageBreak/>
        <w:t>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7.1.2.1. A fiscalização não exclui nem reduz a responsabilidade da CONTRATADA, inclusive perante terceiros, por qualquer irregularidade na prestação dos serviços e, na ocorrência desta, não implica em </w:t>
      </w:r>
      <w:r w:rsidRPr="004543C5">
        <w:rPr>
          <w:rFonts w:ascii="Arial" w:hAnsi="Arial" w:cs="Arial"/>
          <w:color w:val="000000"/>
        </w:rPr>
        <w:lastRenderedPageBreak/>
        <w:t>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9.2.2. Quando da emissão da(s) Nota(s) Fiscal(is)/Fatura(s), a CONTRATADA deverá destacar o valor da retenção, a título de “RETENÇÃO PARA O ISS”. </w:t>
      </w:r>
      <w:r w:rsidRPr="004543C5">
        <w:rPr>
          <w:rFonts w:ascii="Arial" w:hAnsi="Arial" w:cs="Arial"/>
          <w:color w:val="000000"/>
        </w:rPr>
        <w:lastRenderedPageBreak/>
        <w:t>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9.2.2.1.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10.3.4.3.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11.1.2. Se não for possível atualizar os documentos referidos no subitem acima por meio eletrônico hábil de informações, o Adjudicatário será notificado para, no prazo de 2 (dois) dias úteis, comprovar a sua situação de regularidade 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7"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w:t>
      </w:r>
      <w:r w:rsidRPr="004543C5">
        <w:rPr>
          <w:rFonts w:ascii="Arial" w:hAnsi="Arial" w:cs="Arial"/>
          <w:color w:val="000000"/>
        </w:rPr>
        <w:lastRenderedPageBreak/>
        <w:t>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6006ED" w:rsidRPr="006006ED">
        <w:rPr>
          <w:rFonts w:ascii="Arial" w:hAnsi="Arial" w:cs="Arial"/>
          <w:b/>
          <w:bCs/>
          <w:color w:val="000000"/>
          <w:highlight w:val="red"/>
        </w:rPr>
        <w:t>345.500,79</w:t>
      </w:r>
      <w:r w:rsidRPr="008C3F7E">
        <w:rPr>
          <w:rFonts w:ascii="Arial" w:hAnsi="Arial" w:cs="Arial"/>
          <w:b/>
          <w:bCs/>
          <w:color w:val="000000"/>
          <w:highlight w:val="red"/>
        </w:rPr>
        <w:t> </w:t>
      </w:r>
      <w:r w:rsidRPr="008C3F7E">
        <w:rPr>
          <w:rFonts w:ascii="Arial" w:hAnsi="Arial" w:cs="Arial"/>
          <w:color w:val="000000"/>
          <w:highlight w:val="red"/>
        </w:rPr>
        <w:t>(</w:t>
      </w:r>
      <w:r w:rsidR="00CB6EAE" w:rsidRPr="00CB6EAE">
        <w:rPr>
          <w:rFonts w:ascii="Arial" w:hAnsi="Arial" w:cs="Arial"/>
          <w:color w:val="000000"/>
          <w:highlight w:val="red"/>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Pr>
          <w:rFonts w:eastAsia="Times New Roman" w:cs="Arial"/>
          <w:color w:val="000000"/>
          <w:highlight w:val="red"/>
          <w:lang w:eastAsia="pt-BR"/>
        </w:rPr>
        <w:t>31</w:t>
      </w:r>
      <w:r w:rsidRPr="008C3F7E">
        <w:rPr>
          <w:rFonts w:eastAsia="Times New Roman" w:cs="Arial"/>
          <w:color w:val="000000"/>
          <w:highlight w:val="red"/>
          <w:lang w:eastAsia="pt-BR"/>
        </w:rPr>
        <w:t>/</w:t>
      </w:r>
      <w:r w:rsidR="006006ED">
        <w:rPr>
          <w:rFonts w:eastAsia="Times New Roman" w:cs="Arial"/>
          <w:color w:val="000000"/>
          <w:highlight w:val="red"/>
          <w:lang w:eastAsia="pt-BR"/>
        </w:rPr>
        <w:t>03</w:t>
      </w:r>
      <w:r w:rsidRPr="008C3F7E">
        <w:rPr>
          <w:rFonts w:eastAsia="Times New Roman" w:cs="Arial"/>
          <w:color w:val="000000"/>
          <w:highlight w:val="red"/>
          <w:lang w:eastAsia="pt-BR"/>
        </w:rPr>
        <w:t>/</w:t>
      </w:r>
      <w:r w:rsidR="006006ED" w:rsidRPr="006006ED">
        <w:rPr>
          <w:rFonts w:eastAsia="Times New Roman" w:cs="Arial"/>
          <w:color w:val="000000"/>
          <w:highlight w:val="red"/>
          <w:lang w:eastAsia="pt-BR"/>
        </w:rPr>
        <w:t>26</w:t>
      </w:r>
      <w:r w:rsidRPr="006006ED">
        <w:rPr>
          <w:rFonts w:eastAsia="Times New Roman" w:cs="Arial"/>
          <w:color w:val="000000"/>
          <w:highlight w:val="red"/>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IPC/IPCo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1B680D">
              <w:rPr>
                <w:b/>
                <w:bCs/>
                <w:sz w:val="22"/>
                <w:highlight w:val="red"/>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957919" w:rsidRDefault="006006ED" w:rsidP="003A74B3">
            <w:pPr>
              <w:jc w:val="center"/>
              <w:rPr>
                <w:rFonts w:cs="Arial"/>
                <w:b/>
                <w:bCs/>
                <w:color w:val="000000"/>
                <w:sz w:val="22"/>
                <w:highlight w:val="yellow"/>
              </w:rPr>
            </w:pPr>
            <w:r w:rsidRPr="006006ED">
              <w:rPr>
                <w:rFonts w:cs="Arial"/>
                <w:b/>
                <w:bCs/>
                <w:color w:val="000000"/>
                <w:sz w:val="22"/>
                <w:highlight w:val="red"/>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702541" w:rsidRDefault="006006ED" w:rsidP="003A74B3">
            <w:pPr>
              <w:widowControl w:val="0"/>
              <w:tabs>
                <w:tab w:val="left" w:pos="-284"/>
              </w:tabs>
              <w:jc w:val="center"/>
              <w:rPr>
                <w:rFonts w:cs="Arial"/>
                <w:b/>
                <w:bCs/>
                <w:sz w:val="22"/>
                <w:highlight w:val="yellow"/>
              </w:rPr>
            </w:pPr>
            <w:r>
              <w:rPr>
                <w:rFonts w:cs="Arial"/>
                <w:b/>
                <w:bCs/>
                <w:sz w:val="22"/>
                <w:highlight w:val="red"/>
              </w:rPr>
              <w:t>2.</w:t>
            </w:r>
            <w:r w:rsidR="00306B13">
              <w:rPr>
                <w:rFonts w:cs="Arial"/>
                <w:b/>
                <w:bCs/>
                <w:sz w:val="22"/>
                <w:highlight w:val="red"/>
              </w:rPr>
              <w:t>6</w:t>
            </w:r>
            <w:r>
              <w:rPr>
                <w:rFonts w:cs="Arial"/>
                <w:b/>
                <w:bCs/>
                <w:sz w:val="22"/>
                <w:highlight w:val="red"/>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49"/>
            <w:commentRangeStart w:id="50"/>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49"/>
            <w:r w:rsidR="00D733B4" w:rsidRPr="005B7FDC">
              <w:rPr>
                <w:rStyle w:val="Refdecomentrio"/>
                <w:rFonts w:eastAsia="Times New Roman" w:cs="Arial"/>
                <w:color w:val="000000"/>
                <w:sz w:val="18"/>
                <w:szCs w:val="18"/>
                <w:lang w:eastAsia="pt-BR"/>
              </w:rPr>
              <w:commentReference w:id="49"/>
            </w:r>
            <w:commentRangeEnd w:id="50"/>
            <w:r w:rsidR="00A02311" w:rsidRPr="005B7FDC">
              <w:rPr>
                <w:rStyle w:val="Refdecomentrio"/>
                <w:rFonts w:eastAsia="Times New Roman" w:cs="Arial"/>
                <w:color w:val="000000"/>
                <w:sz w:val="18"/>
                <w:szCs w:val="18"/>
                <w:lang w:eastAsia="pt-BR"/>
              </w:rPr>
              <w:commentReference w:id="50"/>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51"/>
            <w:commentRangeStart w:id="52"/>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51"/>
            <w:r w:rsidR="00321E90" w:rsidRPr="005B7FDC">
              <w:rPr>
                <w:rStyle w:val="Refdecomentrio"/>
                <w:rFonts w:eastAsia="Times New Roman" w:cs="Arial"/>
                <w:color w:val="000000"/>
                <w:sz w:val="18"/>
                <w:szCs w:val="18"/>
                <w:lang w:eastAsia="pt-BR"/>
              </w:rPr>
              <w:commentReference w:id="51"/>
            </w:r>
            <w:commentRangeEnd w:id="52"/>
            <w:r w:rsidR="00BA40D7" w:rsidRPr="005B7FDC">
              <w:rPr>
                <w:rStyle w:val="Refdecomentrio"/>
                <w:rFonts w:eastAsia="Times New Roman" w:cs="Arial"/>
                <w:color w:val="000000"/>
                <w:sz w:val="18"/>
                <w:szCs w:val="18"/>
                <w:lang w:eastAsia="pt-BR"/>
              </w:rPr>
              <w:commentReference w:id="52"/>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9"/>
          <w:footerReference w:type="default" r:id="rId80"/>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5D6EAFFE"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2"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3"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4"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5"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Pr>
          <w:color w:val="000000" w:themeColor="text1"/>
          <w:sz w:val="24"/>
          <w:szCs w:val="24"/>
          <w:highlight w:val="red"/>
        </w:rPr>
        <w:t>31</w:t>
      </w:r>
      <w:r w:rsidR="00747632" w:rsidRPr="00747632">
        <w:rPr>
          <w:color w:val="000000" w:themeColor="text1"/>
          <w:sz w:val="24"/>
          <w:szCs w:val="24"/>
          <w:highlight w:val="red"/>
        </w:rPr>
        <w:t>/</w:t>
      </w:r>
      <w:r w:rsidR="00B64580">
        <w:rPr>
          <w:color w:val="000000" w:themeColor="text1"/>
          <w:sz w:val="24"/>
          <w:szCs w:val="24"/>
          <w:highlight w:val="red"/>
        </w:rPr>
        <w:t>03</w:t>
      </w:r>
      <w:r w:rsidR="00747632" w:rsidRPr="00747632">
        <w:rPr>
          <w:color w:val="000000" w:themeColor="text1"/>
          <w:sz w:val="24"/>
          <w:szCs w:val="24"/>
          <w:highlight w:val="red"/>
        </w:rPr>
        <w:t>/</w:t>
      </w:r>
      <w:r w:rsidR="00B64580" w:rsidRPr="00B64580">
        <w:rPr>
          <w:color w:val="000000" w:themeColor="text1"/>
          <w:sz w:val="24"/>
          <w:szCs w:val="24"/>
          <w:highlight w:val="red"/>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43.5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Equation.3" ShapeID="_x0000_i1025" DrawAspect="Content" ObjectID="_1837581187" r:id="rId87"/>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8"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9"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0"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100"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1"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2"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3"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4"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5"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9"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3" w:name="_Hlk170225233"/>
      <w:r w:rsidRPr="009F4809">
        <w:t xml:space="preserve">CLÁUSULA DÉCIMA </w:t>
      </w:r>
      <w:r>
        <w:t>PRIMEIRA</w:t>
      </w:r>
      <w:r w:rsidRPr="009F4809">
        <w:t xml:space="preserve"> – GARANTIA DE EXECUÇÃO (</w:t>
      </w:r>
      <w:hyperlink r:id="rId110"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1"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2"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3"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4"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4"/>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5" w:name="_Ref118297166"/>
      <w:r w:rsidRPr="00623ABB">
        <w:rPr>
          <w:i w:val="0"/>
          <w:iCs w:val="0"/>
          <w:color w:val="auto"/>
          <w:sz w:val="24"/>
          <w:szCs w:val="24"/>
        </w:rPr>
        <w:t>A garantia assegurará, qualquer que seja a modalidade escolhida, o pagamento de:</w:t>
      </w:r>
      <w:bookmarkEnd w:id="55"/>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4"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5"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6"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3"/>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7"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8"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9"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0"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1"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2"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3"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4"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6"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7"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8"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2" w:history="1">
        <w:r w:rsidRPr="008D2D17">
          <w:rPr>
            <w:rStyle w:val="Hyperlink"/>
            <w:sz w:val="24"/>
            <w:szCs w:val="24"/>
          </w:rPr>
          <w:t>Lei n.º 14.133, de 2021</w:t>
        </w:r>
      </w:hyperlink>
      <w:r w:rsidRPr="008D2D17">
        <w:rPr>
          <w:sz w:val="24"/>
          <w:szCs w:val="24"/>
        </w:rPr>
        <w:t xml:space="preserve">, e ao  </w:t>
      </w:r>
      <w:hyperlink r:id="rId133" w:anchor="art8§2" w:history="1">
        <w:r w:rsidRPr="008D2D17">
          <w:rPr>
            <w:rStyle w:val="Hyperlink"/>
            <w:sz w:val="24"/>
            <w:szCs w:val="24"/>
          </w:rPr>
          <w:t>art. 8º, § 2º, da Lei n. 12.527, de 2011</w:t>
        </w:r>
      </w:hyperlink>
      <w:r w:rsidRPr="008D2D17">
        <w:rPr>
          <w:sz w:val="24"/>
          <w:szCs w:val="24"/>
        </w:rPr>
        <w:t xml:space="preserve">, c/c art. 22 do </w:t>
      </w:r>
      <w:hyperlink r:id="rId13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5"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6"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7"/>
      <w:footerReference w:type="default" r:id="rId13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49" w:author="Lucas Ramos Da Silva" w:date="2026-04-07T14:20:00Z" w:initials="LR">
    <w:p w14:paraId="2827930D" w14:textId="77777777" w:rsidR="00D733B4" w:rsidRDefault="00D733B4" w:rsidP="00D733B4">
      <w:pPr>
        <w:pStyle w:val="Textodecomentrio"/>
      </w:pPr>
      <w:r>
        <w:rPr>
          <w:rStyle w:val="Refdecomentrio"/>
        </w:rPr>
        <w:annotationRef/>
      </w:r>
      <w:r>
        <w:t>Remover redundância deixando somente uma linha com o valor total do subitem?</w:t>
      </w:r>
    </w:p>
  </w:comment>
  <w:comment w:id="50" w:author="Olívia Carvalho" w:date="2026-04-09T14:51:00Z" w:initials="OC">
    <w:p w14:paraId="4B305A79" w14:textId="77777777" w:rsidR="00A02311" w:rsidRDefault="00A02311" w:rsidP="00A02311">
      <w:pPr>
        <w:pStyle w:val="Textodecomentrio"/>
      </w:pPr>
      <w:r>
        <w:rPr>
          <w:rStyle w:val="Refdecomentrio"/>
        </w:rPr>
        <w:annotationRef/>
      </w:r>
      <w:r>
        <w:t>Concordo em remover a redundância. Acho que poderia ver a opinião da Carol tb.</w:t>
      </w:r>
    </w:p>
  </w:comment>
  <w:comment w:id="51"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 w:id="52" w:author="Olívia Carvalho" w:date="2026-04-10T09:39:00Z" w:initials="OC">
    <w:p w14:paraId="339F7F05" w14:textId="77777777" w:rsidR="00BA40D7" w:rsidRDefault="00BA40D7" w:rsidP="00BA40D7">
      <w:pPr>
        <w:pStyle w:val="Textodecomentrio"/>
      </w:pPr>
      <w:r>
        <w:rPr>
          <w:rStyle w:val="Refdecomentrio"/>
        </w:rPr>
        <w:annotationRef/>
      </w:r>
      <w:r>
        <w:t>Talvez seja o caso de alterar o valor, considerando 2 casas decimais, para não ter essa diferença no resultado. O que acha, Carol?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9EB4E" w15:done="0"/>
  <w15:commentEx w15:paraId="2827930D" w15:done="0"/>
  <w15:commentEx w15:paraId="4B305A79" w15:paraIdParent="2827930D" w15:done="0"/>
  <w15:commentEx w15:paraId="4017ADD8" w15:done="0"/>
  <w15:commentEx w15:paraId="339F7F05" w15:paraIdParent="4017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54F40" w16cex:dateUtc="2026-01-20T17:44:00Z">
    <w16cex:extLst>
      <w16:ext w16:uri="{CE6994B0-6A32-4C9F-8C6B-6E91EDA988CE}">
        <cr:reactions xmlns:cr="http://schemas.microsoft.com/office/comments/2020/reactions">
          <cr:reaction reactionType="1">
            <cr:reactionInfo dateUtc="2026-04-09T17:19:02Z">
              <cr:user userId="Olívia Carvalho" userProvider="None" userName="Olívia Carvalho"/>
            </cr:reactionInfo>
          </cr:reaction>
        </cr:reactions>
      </w16:ext>
    </w16cex:extLst>
  </w16cex:commentExtensible>
  <w16cex:commentExtensible w16cex:durableId="22E51E47" w16cex:dateUtc="2026-04-07T17:20:00Z"/>
  <w16cex:commentExtensible w16cex:durableId="4F342AAC" w16cex:dateUtc="2026-04-09T17:51:00Z"/>
  <w16cex:commentExtensible w16cex:durableId="2836B186" w16cex:dateUtc="2026-04-07T17:48:00Z">
    <w16cex:extLst>
      <w16:ext w16:uri="{CE6994B0-6A32-4C9F-8C6B-6E91EDA988CE}">
        <cr:reactions xmlns:cr="http://schemas.microsoft.com/office/comments/2020/reactions">
          <cr:reaction reactionType="1">
            <cr:reactionInfo dateUtc="2026-04-09T18:16:57Z">
              <cr:user userId="Olívia Carvalho" userProvider="None" userName="Olívia Carvalho"/>
            </cr:reactionInfo>
          </cr:reaction>
        </cr:reactions>
      </w16:ext>
    </w16cex:extLst>
  </w16cex:commentExtensible>
  <w16cex:commentExtensible w16cex:durableId="6A82AD96" w16cex:dateUtc="2026-04-10T12: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9EB4E" w16cid:durableId="7F054F40"/>
  <w16cid:commentId w16cid:paraId="2827930D" w16cid:durableId="22E51E47"/>
  <w16cid:commentId w16cid:paraId="4B305A79" w16cid:durableId="4F342AAC"/>
  <w16cid:commentId w16cid:paraId="4017ADD8" w16cid:durableId="2836B186"/>
  <w16cid:commentId w16cid:paraId="339F7F05" w16cid:durableId="6A82AD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44C1" w14:textId="77777777" w:rsidR="00C50730" w:rsidRDefault="00C50730">
      <w:r>
        <w:separator/>
      </w:r>
    </w:p>
  </w:endnote>
  <w:endnote w:type="continuationSeparator" w:id="0">
    <w:p w14:paraId="3B08236A" w14:textId="77777777" w:rsidR="00C50730" w:rsidRDefault="00C50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15189B2"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83F1" w14:textId="77777777" w:rsidR="00C50730" w:rsidRDefault="00C50730">
      <w:r>
        <w:separator/>
      </w:r>
    </w:p>
  </w:footnote>
  <w:footnote w:type="continuationSeparator" w:id="0">
    <w:p w14:paraId="7AD98D70" w14:textId="77777777" w:rsidR="00C50730" w:rsidRDefault="00C50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5E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5DCD"/>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s://www.planalto.gov.br/ccivil_03/LEIS/LCP/Lcp12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1-2014/2011/lei/l12527.htm" TargetMode="External"/><Relationship Id="rId138" Type="http://schemas.openxmlformats.org/officeDocument/2006/relationships/footer" Target="footer2.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header" Target="head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legislacao.sp.gov.br/legislacao/dg280202.nsf/5fb5269ed17b47ab83256cfb00501469/6942580fdf794ec903258a830066c0e6?OpenDocument&amp;Highlight=0,68.155"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footer" Target="footer1.xm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eader" Target="head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image" Target="media/image1.png"/><Relationship Id="rId81" Type="http://schemas.openxmlformats.org/officeDocument/2006/relationships/hyperlink" Target="http://www.planalto.gov.br/ccivil_03/_ato2019-2022/2021/lei/L14133.htm" TargetMode="External"/><Relationship Id="rId86" Type="http://schemas.openxmlformats.org/officeDocument/2006/relationships/image" Target="media/image3.wmf"/><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3/Lei/L12846.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leis/l8078compilado.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oleObject" Target="embeddings/oleObject1.bin"/><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in.gov.br/en/web/dou/-/circular-susep-n-662-de-11-de-abril-de-2022-392772088"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s://sei.tce.sp.gov.br/sei/dcp1@tce.sp.gov.br" TargetMode="External"/><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18021</TotalTime>
  <Pages>73</Pages>
  <Words>25464</Words>
  <Characters>144127</Characters>
  <Application>Microsoft Office Word</Application>
  <DocSecurity>0</DocSecurity>
  <Lines>3275</Lines>
  <Paragraphs>1401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1016</cp:revision>
  <cp:lastPrinted>2024-05-10T18:42:00Z</cp:lastPrinted>
  <dcterms:created xsi:type="dcterms:W3CDTF">2024-07-06T20:40:00Z</dcterms:created>
  <dcterms:modified xsi:type="dcterms:W3CDTF">2026-04-13T13:27:00Z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