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20" w:space="6" w:color="B68D40"/>
        </w:pBdr>
      </w:pPr>
      <w:r>
        <w:rPr>
          <w:rFonts w:ascii="Arial Unicode MS" w:hAnsi="Arial Unicode MS" w:eastAsia="Arial Unicode MS" w:cs="Arial Unicode MS"/>
          <w:b/>
          <w:color w:val="16324F"/>
          <w:sz w:val="26"/>
        </w:rPr>
        <w:t>SOMA</w:t>
      </w:r>
      <w:r>
        <w:rPr>
          <w:rFonts w:ascii="Arial Unicode MS" w:hAnsi="Arial Unicode MS" w:eastAsia="Arial Unicode MS" w:cs="Arial Unicode MS"/>
          <w:b/>
          <w:color w:val="B68D40"/>
          <w:sz w:val="18"/>
        </w:rPr>
        <w:t xml:space="preserve">   /   PRODUCT PUBLICATION</w:t>
      </w:r>
    </w:p>
    <w:p>
      <w:pPr>
        <w:spacing w:before="480" w:after="160"/>
      </w:pPr>
      <w:r>
        <w:rPr>
          <w:rFonts w:ascii="Arial Unicode MS" w:hAnsi="Arial Unicode MS" w:eastAsia="Arial Unicode MS" w:cs="Arial Unicode MS"/>
          <w:b/>
          <w:color w:val="16324F"/>
          <w:sz w:val="60"/>
        </w:rPr>
        <w:t>SOMA Java V1</w:t>
      </w:r>
      <w:r>
        <w:br/>
      </w:r>
      <w:r>
        <w:rPr>
          <w:rFonts w:ascii="Arial Unicode MS" w:hAnsi="Arial Unicode MS" w:eastAsia="Arial Unicode MS" w:cs="Arial Unicode MS"/>
          <w:b/>
          <w:color w:val="16324F"/>
          <w:sz w:val="64"/>
        </w:rPr>
        <w:t>技术白皮书</w:t>
      </w:r>
    </w:p>
    <w:p>
      <w:pPr>
        <w:spacing w:after="160"/>
      </w:pPr>
      <w:r>
        <w:rPr>
          <w:rFonts w:ascii="Arial Unicode MS" w:hAnsi="Arial Unicode MS" w:eastAsia="Arial Unicode MS" w:cs="Arial Unicode MS"/>
          <w:b w:val="0"/>
          <w:color w:val="2A6F76"/>
          <w:sz w:val="26"/>
        </w:rPr>
        <w:t>Schema-Defined · Compiler-Specialized · JVM Heap-Resident</w:t>
      </w:r>
    </w:p>
    <w:p>
      <w:pPr>
        <w:spacing w:after="240"/>
      </w:pPr>
      <w:r>
        <w:rPr>
          <w:rFonts w:ascii="Arial Unicode MS" w:hAnsi="Arial Unicode MS" w:eastAsia="Arial Unicode MS" w:cs="Arial Unicode MS"/>
          <w:b/>
          <w:color w:val="B68D40"/>
          <w:sz w:val="20"/>
        </w:rPr>
        <w:t>技术架构与证据边界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2157984"/>
            <wp:docPr id="1" name="Picture 1" descr="SOMA Schema 编译生成 packed columnar runtime state，并以证据和边界闭合。" title="SOMA Java V1 技术白皮书 封面技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white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79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>版本</w:t>
            </w:r>
          </w:p>
        </w:tc>
        <w:tc>
          <w:tcPr>
            <w:tcW w:type="dxa" w:w="6960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color w:val="637381"/>
                <w:sz w:val="17"/>
              </w:rPr>
              <w:t>文档版本 1.0  ·  产品版本 1.0.0</w:t>
            </w:r>
          </w:p>
        </w:tc>
      </w:tr>
      <w:tr>
        <w:tc>
          <w:tcPr>
            <w:tcW w:type="dxa" w:w="2400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>日期</w:t>
            </w:r>
          </w:p>
        </w:tc>
        <w:tc>
          <w:tcPr>
            <w:tcW w:type="dxa" w:w="6960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color w:val="637381"/>
                <w:sz w:val="17"/>
              </w:rPr>
              <w:t>2026 年 7 月 30 日</w:t>
            </w:r>
          </w:p>
        </w:tc>
      </w:tr>
      <w:tr>
        <w:tc>
          <w:tcPr>
            <w:tcW w:type="dxa" w:w="2400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>基线</w:t>
            </w:r>
          </w:p>
        </w:tc>
        <w:tc>
          <w:tcPr>
            <w:tcW w:type="dxa" w:w="6960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color w:val="637381"/>
                <w:sz w:val="17"/>
              </w:rPr>
              <w:t>内容核对基线  8c2b879934d…</w:t>
            </w:r>
          </w:p>
        </w:tc>
      </w:tr>
      <w:tr>
        <w:tc>
          <w:tcPr>
            <w:tcW w:type="dxa" w:w="2400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>边界</w:t>
            </w:r>
          </w:p>
        </w:tc>
        <w:tc>
          <w:tcPr>
            <w:tcW w:type="dxa" w:w="6960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/>
                <w:color w:val="637381"/>
                <w:sz w:val="17"/>
              </w:rPr>
              <w:t>selected private GitHub source  ·  非 public / Maven Central / production SLA</w:t>
            </w:r>
          </w:p>
        </w:tc>
      </w:tr>
    </w:tbl>
    <w:p>
      <w:r>
        <w:br w:type="page"/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文档控制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2612"/>
        <w:gridCol w:w="6748"/>
      </w:tblGrid>
      <w:tr>
        <w:trPr>
          <w:tblHeader w:val="true"/>
          <w:cantSplit w:val="true"/>
        </w:trPr>
        <w:tc>
          <w:tcPr>
            <w:tcW w:type="dxa" w:w="2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7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文档名称</w:t>
            </w:r>
          </w:p>
        </w:tc>
        <w:tc>
          <w:tcPr>
            <w:tcW w:type="dxa" w:w="67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SOMA Java V1 技术白皮书</w:t>
            </w:r>
          </w:p>
        </w:tc>
      </w:tr>
      <w:tr>
        <w:trPr>
          <w:cantSplit w:val="true"/>
        </w:trPr>
        <w:tc>
          <w:tcPr>
            <w:tcW w:type="dxa" w:w="2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文档职责</w:t>
            </w:r>
          </w:p>
        </w:tc>
        <w:tc>
          <w:tcPr>
            <w:tcW w:type="dxa" w:w="67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解释产品定位、核心技术、正确性与资源模型、性能证据及适用边界</w:t>
            </w:r>
          </w:p>
        </w:tc>
      </w:tr>
      <w:tr>
        <w:trPr>
          <w:cantSplit w:val="true"/>
        </w:trPr>
        <w:tc>
          <w:tcPr>
            <w:tcW w:type="dxa" w:w="2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适用产品版本</w:t>
            </w:r>
          </w:p>
        </w:tc>
        <w:tc>
          <w:tcPr>
            <w:tcW w:type="dxa" w:w="67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SOMA Java 1.0.0</w:t>
            </w:r>
          </w:p>
        </w:tc>
      </w:tr>
      <w:tr>
        <w:trPr>
          <w:cantSplit w:val="true"/>
        </w:trPr>
        <w:tc>
          <w:tcPr>
            <w:tcW w:type="dxa" w:w="2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文档版本</w:t>
            </w:r>
          </w:p>
        </w:tc>
        <w:tc>
          <w:tcPr>
            <w:tcW w:type="dxa" w:w="67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1.0</w:t>
            </w:r>
          </w:p>
        </w:tc>
      </w:tr>
      <w:tr>
        <w:trPr>
          <w:cantSplit w:val="true"/>
        </w:trPr>
        <w:tc>
          <w:tcPr>
            <w:tcW w:type="dxa" w:w="2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状态</w:t>
            </w:r>
          </w:p>
        </w:tc>
        <w:tc>
          <w:tcPr>
            <w:tcW w:type="dxa" w:w="67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正式</w:t>
            </w:r>
          </w:p>
        </w:tc>
      </w:tr>
      <w:tr>
        <w:trPr>
          <w:cantSplit w:val="true"/>
        </w:trPr>
        <w:tc>
          <w:tcPr>
            <w:tcW w:type="dxa" w:w="2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主要读者</w:t>
            </w:r>
          </w:p>
        </w:tc>
        <w:tc>
          <w:tcPr>
            <w:tcW w:type="dxa" w:w="67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技术负责人、架构师、性能工程师、平台选型者、高级应用开发者</w:t>
            </w:r>
          </w:p>
        </w:tc>
      </w:tr>
      <w:tr>
        <w:trPr>
          <w:cantSplit w:val="true"/>
        </w:trPr>
        <w:tc>
          <w:tcPr>
            <w:tcW w:type="dxa" w:w="2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产品内容核对基线</w:t>
            </w:r>
          </w:p>
        </w:tc>
        <w:tc>
          <w:tcPr>
            <w:tcW w:type="dxa" w:w="67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8c2b879934d92a74d89e6f0fb7f1e562f0ab10a9</w:t>
            </w:r>
          </w:p>
        </w:tc>
      </w:tr>
      <w:tr>
        <w:trPr>
          <w:cantSplit w:val="true"/>
        </w:trPr>
        <w:tc>
          <w:tcPr>
            <w:tcW w:type="dxa" w:w="2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发布边界</w:t>
            </w:r>
          </w:p>
        </w:tc>
        <w:tc>
          <w:tcPr>
            <w:tcW w:type="dxa" w:w="67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selected </w:t>
            </w: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private-github-source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；不声明 public GitHub、Maven Central 或 production SLA</w:t>
            </w:r>
          </w:p>
        </w:tc>
      </w:tr>
      <w:tr>
        <w:trPr>
          <w:cantSplit w:val="true"/>
        </w:trPr>
        <w:tc>
          <w:tcPr>
            <w:tcW w:type="dxa" w:w="26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最后审查日期</w:t>
            </w:r>
          </w:p>
        </w:tc>
        <w:tc>
          <w:tcPr>
            <w:tcW w:type="dxa" w:w="67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2026-07-30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70" w:type="dxa"/>
              <w:bottom w:w="120" w:type="dxa"/>
              <w:end w:w="150" w:type="dxa"/>
            </w:tcMar>
            <w:shd w:fill="EAF2F6"/>
          </w:tcPr>
          <w:p>
            <w:pPr>
              <w:pStyle w:val="CalloutSOMA"/>
              <w:spacing w:after="80"/>
              <w:keepNext/>
              <w:keepLines/>
              <w:pBdr>
                <w:left w:val="single" w:sz="28" w:space="6" w:color="2A6F76"/>
              </w:pBdr>
              <w:widowControl w:val="true"/>
            </w:pPr>
            <w:r>
              <w:rPr>
                <w:rFonts w:ascii="Arial Unicode MS" w:hAnsi="Arial Unicode MS" w:eastAsia="Arial Unicode MS" w:cs="Arial Unicode MS"/>
                <w:b/>
                <w:color w:val="2A6F76"/>
                <w:sz w:val="20"/>
              </w:rPr>
              <w:t>提示  文档职责</w:t>
            </w:r>
          </w:p>
          <w:p>
            <w:pPr>
              <w:pStyle w:val="CalloutSOMA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>本白皮书是产品级技术解释材料。它不替代 Blueprint、Design、generated API、 executable contract 或 release evidence。精确签名、协议、支持状态和性能测量应 回到文末列出的正式事实源核对。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摘要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Java 是面向 Java 8 的 Schema-Defined、Compiler-Specialized、 JVM Heap-Resident 高性能运行时状态计算库。它服务于这样一类工程问题：一个 Java 进程需要长期持有规模较大、结构稳定但频繁变化的状态，并围绕这些状态持续 执行精确定位、候选筛选、列式遍历、聚合、关系计算和受控更新；同时，业务代码仍 希望保留静态类型、领域 Value Object、可定位的编译错误以及普通 Maven consumer 体验。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SOMA 的关键判断是：这类系统的瓶颈通常不只是某个循环“跑得不够快”，而是事实 表示、访问路径、生命周期和边界物化没有形成一个闭合的设计。以对象图或 </w:t>
      </w:r>
      <w:r>
        <w:rPr>
          <w:rFonts w:ascii="Menlo" w:hAnsi="Menlo" w:eastAsia="PingFang SC" w:cs="Menlo"/>
          <w:color w:val="16324F"/>
          <w:sz w:val="19"/>
          <w:shd w:fill="EEF2F4"/>
        </w:rPr>
        <w:t>List&lt;Row&gt;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承载 live state，会把 heap retention、pointer chasing、GC 和 shadow facts 带进核心路径；以反射或 metadata interpreter 换取通用性，会把逐行动态派发 和不可预测的失败推入 hot loop；以读取时重建索引、全表排序或大量 DTO materialization 掩盖建模不足，则会把局部业务工作扩张为全局成本。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通过四个相互约束的机制解决这个问题：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/>
          <w:color w:val="243746"/>
          <w:sz w:val="21"/>
        </w:rPr>
        <w:t>编译期专门化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：Schema 在 javac 8 阶段完成验证、规范化和代码生成，运行期 不解释 application schema；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/>
          <w:color w:val="243746"/>
          <w:sz w:val="21"/>
        </w:rPr>
        <w:t>单一 packed state plane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：live facts 由 heap-resident packed columnar Table 唯一拥有，Schema carrier 和 detached object 不成为第二份 live state；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/>
          <w:color w:val="243746"/>
          <w:sz w:val="21"/>
        </w:rPr>
        <w:t>封闭且类型化的能力模型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：Point、Candidate、Column、Key、Bulk、Ownership 与 typed Transformation/DataFlow 各自拥有自然路径，不强迫所有操作进入万能 pipeline；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/>
          <w:color w:val="243746"/>
          <w:sz w:val="21"/>
        </w:rPr>
        <w:t>显式 Plan、资源和失败边界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：容量、预算、ownership、one-shot lifecycle、 result delivery、structured failure 与 observation 在事实发布前闭合。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2" name="Picture 2" descr="左侧展示对象图、反射、隐藏重建和边界物化造成的成本，右侧展示 SOMA 以 Schema、生成 API、packed columns 和显式 Plan 形成的解决路径。" title="图 1  从对象图与隐藏成本到编译专门化状态平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_problem_sol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1  从对象图与隐藏成本到编译专门化状态平面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本白皮书将从产品问题出发，依次展开编译期模型、运行时状态平面、访问与计算模型、 正确性、资源、可观测性、性能证据和产品边界。其结论不是“所有场景都应使用列式 存储”，而是：当业务拥有稳定的数据形态、明确的访问模式、可控的进程内生命周期 和高频局部计算时，把逻辑语义在编译期降低为 schema-specific API 和 bounded runtime primitive，可以同时改善性能形状、类型安全和系统可推理性。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目录</w:t>
      </w:r>
    </w:p>
    <w:p>
      <w:pPr>
        <w:spacing w:after="100"/>
      </w:pPr>
      <w:r>
        <w:fldChar w:fldCharType="begin"/>
        <w:instrText xml:space="preserve">TOC \o "1-3" \h \z \u</w:instrText>
        <w:fldChar w:fldCharType="separate"/>
        <w:t>打开 Word 时自动更新目录页码</w:t>
        <w:fldChar w:fldCharType="end"/>
      </w:r>
    </w:p>
    <w:p>
      <w:pPr>
        <w:pStyle w:val="SmallSOMA"/>
        <w:spacing w:after="160"/>
      </w:pPr>
      <w:r>
        <w:rPr>
          <w:rFonts w:ascii="Arial Unicode MS" w:hAnsi="Arial Unicode MS" w:eastAsia="Arial Unicode MS" w:cs="Arial Unicode MS"/>
          <w:color w:val="637381"/>
          <w:sz w:val="16"/>
        </w:rPr>
        <w:t>章节导航  ·  Word 目录域将在打开时更新为含页码目录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01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文档控制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10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Plan、Resource 与 Observability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02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摘要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11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Correctness 与 Failure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03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阅读路径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12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性能工程与物理选择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04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运行时状态计算的工程问题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13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V1 Evidence 与声明边界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05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产品定位与设计原则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14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适用边界与选型建议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06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Schema-Defined 与 Compiler-Specialized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15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结语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07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Runtime State Plane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16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附录：核心术语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08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Access Model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17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附录：Capability 与 Owner</w:t>
            </w:r>
          </w:p>
        </w:tc>
      </w:tr>
      <w:tr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09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Transformation 与 Typed DataFlow</w:t>
            </w:r>
          </w:p>
        </w:tc>
        <w:tc>
          <w:tcPr>
            <w:tcW w:type="dxa" w:w="4680"/>
            <w:tcMar>
              <w:top w:w="32" w:type="dxa"/>
              <w:start w:w="80" w:type="dxa"/>
              <w:bottom w:w="32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 w:cs="Arial Unicode MS"/>
                <w:b/>
                <w:color w:val="B68D40"/>
                <w:sz w:val="16"/>
              </w:rPr>
              <w:t xml:space="preserve">18  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6"/>
              </w:rPr>
              <w:t>附录：正式事实来源</w:t>
            </w:r>
          </w:p>
        </w:tc>
      </w:tr>
    </w:tbl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阅读路径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技术负责人和架构师可顺序阅读“工程问题—产品原则—编译链—状态平面—DataFlow— 正确性—证据边界”，用以判断产品与目标系统是否匹配。性能工程师可重点阅读 Runtime State Plane、Access Model、性能工程、V1 Evidence；应用开发者可从产品 原则、Access、Plan/Resource 与适用边界建立使用模型，再进入配套《应用开发者 手册》。只关心选型的读者至少应阅读“明确的非目标”“V1 Evidence 与声明边界”和 “适用边界与选型建议”，避免从单一 benchmark 或 row count 外推结论。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运行时状态计算的工程问题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问题不是“Java 对象太慢”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Java 对象模型非常适合表达边界数据、领域行为和低到中等规模的业务对象。问题出现 在另一种负载形态中：相同字段在大量行上被反复读取和更新，访问模式稳定，候选集 经常从全局规模缩小到局部规模，算法步骤需要在同一状态上执行成千上万次。此时， 每行一个对象、每个关联一个容器、每次访问一次虚调用的成本会被持续放大。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真正需要控制的是整个 mechanical shape：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live facts 是否只有一个 Owner，还是同时存在 Table、DTO cache、Map 和临时 snapshot；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一次读取触碰多少列、多少字节、多少对象引用；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exact lookup 是写入时维护，还是读取时扫描或重建；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sort、join、group 和 output 的 cardinality 是否在分配前可证明；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current Index、Cursor、View 和 detached result 是否拥有清晰 validity；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异常发生后，哪份状态仍然可信，哪些资源必须释放；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benchmark 测到的是 hot path，还是 setup、物化、GC 和适配器的混合结果。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常见形状及其系统性后果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3679"/>
        <w:gridCol w:w="1686"/>
        <w:gridCol w:w="3995"/>
      </w:tblGrid>
      <w:tr>
        <w:trPr>
          <w:tblHeader w:val="true"/>
          <w:cantSplit w:val="true"/>
        </w:trPr>
        <w:tc>
          <w:tcPr>
            <w:tcW w:type="dxa" w:w="36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形状</w:t>
            </w:r>
          </w:p>
        </w:tc>
        <w:tc>
          <w:tcPr>
            <w:tcW w:type="dxa" w:w="16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表面便利</w:t>
            </w:r>
          </w:p>
        </w:tc>
        <w:tc>
          <w:tcPr>
            <w:tcW w:type="dxa" w:w="39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长期代价</w:t>
            </w:r>
          </w:p>
        </w:tc>
      </w:tr>
      <w:tr>
        <w:trPr>
          <w:cantSplit w:val="true"/>
        </w:trPr>
        <w:tc>
          <w:tcPr>
            <w:tcW w:type="dxa" w:w="36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List&lt;Row&gt;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 / DTO graph 作为 live state</w:t>
            </w:r>
          </w:p>
        </w:tc>
        <w:tc>
          <w:tcPr>
            <w:tcW w:type="dxa" w:w="16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与普通业务代码一致</w:t>
            </w:r>
          </w:p>
        </w:tc>
        <w:tc>
          <w:tcPr>
            <w:tcW w:type="dxa" w:w="39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per-row object、pointer chasing、GC、shadow facts、更新一致性</w:t>
            </w:r>
          </w:p>
        </w:tc>
      </w:tr>
      <w:tr>
        <w:trPr>
          <w:cantSplit w:val="true"/>
        </w:trPr>
        <w:tc>
          <w:tcPr>
            <w:tcW w:type="dxa" w:w="36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Map&lt;Key, Row&gt;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 作为统一访问层</w:t>
            </w:r>
          </w:p>
        </w:tc>
        <w:tc>
          <w:tcPr>
            <w:tcW w:type="dxa" w:w="16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点查直接</w:t>
            </w:r>
          </w:p>
        </w:tc>
        <w:tc>
          <w:tcPr>
            <w:tcW w:type="dxa" w:w="39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完整 row object 与 hash node retention；列式 scan 仍需对象遍历</w:t>
            </w:r>
          </w:p>
        </w:tc>
      </w:tr>
      <w:tr>
        <w:trPr>
          <w:cantSplit w:val="true"/>
        </w:trPr>
        <w:tc>
          <w:tcPr>
            <w:tcW w:type="dxa" w:w="36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reflection / metadata interpreter</w:t>
            </w:r>
          </w:p>
        </w:tc>
        <w:tc>
          <w:tcPr>
            <w:tcW w:type="dxa" w:w="16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运行时通用</w:t>
            </w:r>
          </w:p>
        </w:tc>
        <w:tc>
          <w:tcPr>
            <w:tcW w:type="dxa" w:w="39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逐行动态分派、类型错误后移、JIT specialization 受限</w:t>
            </w:r>
          </w:p>
        </w:tc>
      </w:tr>
      <w:tr>
        <w:trPr>
          <w:cantSplit w:val="true"/>
        </w:trPr>
        <w:tc>
          <w:tcPr>
            <w:tcW w:type="dxa" w:w="36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读取时 rebuild index</w:t>
            </w:r>
          </w:p>
        </w:tc>
        <w:tc>
          <w:tcPr>
            <w:tcW w:type="dxa" w:w="16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写路径简单</w:t>
            </w:r>
          </w:p>
        </w:tc>
        <w:tc>
          <w:tcPr>
            <w:tcW w:type="dxa" w:w="39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第一次或脏读变成不可预测全表成本</w:t>
            </w:r>
          </w:p>
        </w:tc>
      </w:tr>
      <w:tr>
        <w:trPr>
          <w:cantSplit w:val="true"/>
        </w:trPr>
        <w:tc>
          <w:tcPr>
            <w:tcW w:type="dxa" w:w="36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所有操作统一成 generic pipeline</w:t>
            </w:r>
          </w:p>
        </w:tc>
        <w:tc>
          <w:tcPr>
            <w:tcW w:type="dxa" w:w="16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API 形式整齐</w:t>
            </w:r>
          </w:p>
        </w:tc>
        <w:tc>
          <w:tcPr>
            <w:tcW w:type="dxa" w:w="39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点查和单列访问承担 planner、node、boxing 固定税</w:t>
            </w:r>
          </w:p>
        </w:tc>
      </w:tr>
      <w:tr>
        <w:trPr>
          <w:cantSplit w:val="true"/>
        </w:trPr>
        <w:tc>
          <w:tcPr>
            <w:tcW w:type="dxa" w:w="36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结果默认 materialize 为对象集合</w:t>
            </w:r>
          </w:p>
        </w:tc>
        <w:tc>
          <w:tcPr>
            <w:tcW w:type="dxa" w:w="16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边界可读</w:t>
            </w:r>
          </w:p>
        </w:tc>
        <w:tc>
          <w:tcPr>
            <w:tcW w:type="dxa" w:w="39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allocation、GC 和峰值内存与结果 cardinality 同步增长</w:t>
            </w:r>
          </w:p>
        </w:tc>
      </w:tr>
      <w:tr>
        <w:trPr>
          <w:cantSplit w:val="true"/>
        </w:trPr>
        <w:tc>
          <w:tcPr>
            <w:tcW w:type="dxa" w:w="36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物理 Index 被当作业务 identity</w:t>
            </w:r>
          </w:p>
        </w:tc>
        <w:tc>
          <w:tcPr>
            <w:tcW w:type="dxa" w:w="16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实现简单</w:t>
            </w:r>
          </w:p>
        </w:tc>
        <w:tc>
          <w:tcPr>
            <w:tcW w:type="dxa" w:w="39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swap-remove 或 compaction 后引用错误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不尝试通过 JVM 参数或单个 micro-optimization 修补这些问题，而是把事实、 表示、访问、生命周期、资源和证据一起纳入产品模型。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目标工作负载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面向有限、进程内、typed 的 runtime-state computation。典型场景包括：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调度或搜索过程中持续维护 candidate、frontier 和 working state；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仿真系统中高频更新的实体状态和局部邻域；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规则引擎中反复执行的 selection、projection、aggregation、join 和 group；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需要 exact access、连续列访问和可控边界物化的内存计算组件。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Application 仍然拥有业务策略、event loop、I/O、持久化、恢复、认证授权、跨表 提交顺序和专用数据结构。SOMA 只拥有进程内状态与局部计算的明确边界。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产品定位与设计原则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一个产品，两个互补视角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的系统模型由三个正交轴共同定义：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3" name="Picture 3" descr="三条轴分别表示 State 与 Owner、封闭 Capability，以及 Plan 与 Lifecycle，并在中心汇合为可推理的运行时状态计算。" title="图 2  SOMA 的三轴系统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_three_ax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2  SOMA 的三轴系统模型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/>
          <w:color w:val="243746"/>
        </w:rPr>
        <w:t>State / Owner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回答谁拥有 live facts。</w:t>
      </w:r>
      <w:r>
        <w:rPr>
          <w:rFonts w:ascii="Menlo" w:hAnsi="Menlo" w:eastAsia="PingFang SC" w:cs="Menlo"/>
          <w:color w:val="16324F"/>
          <w:sz w:val="19"/>
          <w:shd w:fill="EEF2F4"/>
        </w:rPr>
        <w:t>SomaGroup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可以组合多个 root ownership aggregate；每个 root 及其递归 owned children 形成独立事实和 lifecycle 边界。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/>
          <w:color w:val="243746"/>
        </w:rPr>
        <w:t>Capability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回答系统提供哪些封闭能力。V1 包含 Schema/Metadata、Storage/Layout、Access、Mutation、Relation、Transformation、 Execution、Result Delivery、Resource 与 Observation/Failure。它们构成责任 taxonomy，不等同于必须暴露同数量的 public SPI。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/>
          <w:color w:val="243746"/>
        </w:rPr>
        <w:t>Plan / Lifecycle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回答能力何时配置、冻结、绑定、执行、完成和释放。 Descriptor、Plan Builder、Effective Metadata、Definition、Template、one-shot Invocation 与 detached Observation 拥有不同的可变性和 validity。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另一条技术主线是：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Logical semantics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-&gt; Java authoring type / generated capability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-&gt; runtime carrier and validated plan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-&gt; replaceable JVM / OS / CPU physical strategy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TEXT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它确保 primitive carrier 不会冒充 logical type，也确保某个 hash、bitmap、segment 或 parallel 策略不会泄漏成业务契约。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设计优先级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按以下顺序裁决技术选择：</w:t>
      </w:r>
    </w:p>
    <w:p>
      <w:pPr>
        <w:pStyle w:val="ListNumber"/>
        <w:keepNext w:val="0"/>
        <w:keepLines w:val="0"/>
        <w:numPr>
          <w:ilvl w:val="0"/>
          <w:numId w:val="1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目标场景和语义正确性；</w:t>
      </w:r>
    </w:p>
    <w:p>
      <w:pPr>
        <w:pStyle w:val="ListNumber"/>
        <w:keepNext w:val="0"/>
        <w:keepLines w:val="0"/>
        <w:numPr>
          <w:ilvl w:val="0"/>
          <w:numId w:val="1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单一事实源、ownership 与失败后可推理性；</w:t>
      </w:r>
    </w:p>
    <w:p>
      <w:pPr>
        <w:pStyle w:val="ListNumber"/>
        <w:keepNext w:val="0"/>
        <w:keepLines w:val="0"/>
        <w:numPr>
          <w:ilvl w:val="0"/>
          <w:numId w:val="1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类型安全、编译期诊断和稳定契约；</w:t>
      </w:r>
    </w:p>
    <w:p>
      <w:pPr>
        <w:pStyle w:val="ListNumber"/>
        <w:keepNext w:val="0"/>
        <w:keepLines w:val="0"/>
        <w:numPr>
          <w:ilvl w:val="0"/>
          <w:numId w:val="1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packed、primitive、局部且 allocation-bounded 的 hot path；</w:t>
      </w:r>
    </w:p>
    <w:p>
      <w:pPr>
        <w:pStyle w:val="ListNumber"/>
        <w:keepNext w:val="0"/>
        <w:keepLines w:val="0"/>
        <w:numPr>
          <w:ilvl w:val="0"/>
          <w:numId w:val="10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可验证性、可观测性和普通 Java 8 consumer 可用性。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因此，一个局部 benchmark 更快但需要隐藏迁移、破坏 determinism、复制 live facts 或扩大失败域的方案，不是合格的产品优化。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明确的非目标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Java V1 不是数据库、ORM、SQL/query language、持久化层、分布式执行系统、 workflow engine、无限流平台或 transaction manager。它不提供 Python/C ABI、 native/off-heap 第二后端、并发 Table API、跨 root transaction、普通 Iterator、 Publisher、async lazy result、任意 Java object storage 或开放 runtime strategy SPI。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这些边界不是功能缺失清单，而是保证产品可以在 Java 8 进程内形成闭合语义、 资源和证据的必要条件。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Schema-Defined 与 Compiler-Specialized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编译链是产品架构的一部分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的 Schema 不是运行时读取的配置文件。Application 通过 Java annotation 声明 table、field、value、identity、exact access 和 ownership；完整 JDK 8 javac 在编译期完成 value lowering、schema collection、验证、规范化、hash 和 schema-specific code generation。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4" name="Picture 4" descr="Java annotation source 经 javac plugin 和 JSR 269 processor 形成 normalized model、schema hash、Descriptor Metadata 与 generated facade，再由 narrow protocol 连接 runtime-core 和 dataflow。" title="图 3  从 Java Schema 到运行时专门化执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_compile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3  从 Java Schema 到运行时专门化执行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这条链路承担三个关键职责：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把非法 field/type/modifier、冲突 key/index、ownership cycle、命名冲突和资源 上限问题前移到编译期；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把 Schema 语义降低为稳定、类型化、可由 IDE completion 发现的 generated API；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让 runtime kernel 只消费已经验证的 layout、plan 和 typed protocol，不在逐行 执行时解释 schema object。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Schema vocabulary</w:t>
      </w:r>
    </w:p>
    <w:p>
      <w:pPr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19"/>
          <w:shd w:fill="EEF2F4"/>
        </w:rPr>
        <w:t>@SomaSchema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定义生成单元和 namespace；</w:t>
      </w:r>
      <w:r>
        <w:rPr>
          <w:rFonts w:ascii="Menlo" w:hAnsi="Menlo" w:eastAsia="PingFang SC" w:cs="Menlo"/>
          <w:color w:val="16324F"/>
          <w:sz w:val="19"/>
          <w:shd w:fill="EEF2F4"/>
        </w:rPr>
        <w:t>@SomaValue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定义 compiler-owned immutable inline value；</w:t>
      </w:r>
      <w:r>
        <w:rPr>
          <w:rFonts w:ascii="Menlo" w:hAnsi="Menlo" w:eastAsia="PingFang SC" w:cs="Menlo"/>
          <w:color w:val="16324F"/>
          <w:sz w:val="19"/>
          <w:shd w:fill="EEF2F4"/>
        </w:rPr>
        <w:t>@SomaTable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定义 row schema 与 detached row shape； </w:t>
      </w:r>
      <w:r>
        <w:rPr>
          <w:rFonts w:ascii="Menlo" w:hAnsi="Menlo" w:eastAsia="PingFang SC" w:cs="Menlo"/>
          <w:color w:val="16324F"/>
          <w:sz w:val="19"/>
          <w:shd w:fill="EEF2F4"/>
        </w:rPr>
        <w:t>@SomaField</w:t>
      </w:r>
      <w:r>
        <w:rPr>
          <w:rFonts w:ascii="Arial Unicode MS" w:hAnsi="Arial Unicode MS" w:eastAsia="Arial Unicode MS" w:cs="Arial Unicode MS"/>
          <w:b w:val="0"/>
          <w:color w:val="243746"/>
        </w:rPr>
        <w:t>、</w:t>
      </w:r>
      <w:r>
        <w:rPr>
          <w:rFonts w:ascii="Menlo" w:hAnsi="Menlo" w:eastAsia="PingFang SC" w:cs="Menlo"/>
          <w:color w:val="16324F"/>
          <w:sz w:val="19"/>
          <w:shd w:fill="EEF2F4"/>
        </w:rPr>
        <w:t>@SomaOptional</w:t>
      </w:r>
      <w:r>
        <w:rPr>
          <w:rFonts w:ascii="Arial Unicode MS" w:hAnsi="Arial Unicode MS" w:eastAsia="Arial Unicode MS" w:cs="Arial Unicode MS"/>
          <w:b w:val="0"/>
          <w:color w:val="243746"/>
        </w:rPr>
        <w:t>、</w:t>
      </w:r>
      <w:r>
        <w:rPr>
          <w:rFonts w:ascii="Menlo" w:hAnsi="Menlo" w:eastAsia="PingFang SC" w:cs="Menlo"/>
          <w:color w:val="16324F"/>
          <w:sz w:val="19"/>
          <w:shd w:fill="EEF2F4"/>
        </w:rPr>
        <w:t>@SomaDefault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和 </w:t>
      </w:r>
      <w:r>
        <w:rPr>
          <w:rFonts w:ascii="Menlo" w:hAnsi="Menlo" w:eastAsia="PingFang SC" w:cs="Menlo"/>
          <w:color w:val="16324F"/>
          <w:sz w:val="19"/>
          <w:shd w:fill="EEF2F4"/>
        </w:rPr>
        <w:t>@SomaSemantic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明确 value state；</w:t>
      </w:r>
      <w:r>
        <w:rPr>
          <w:rFonts w:ascii="Menlo" w:hAnsi="Menlo" w:eastAsia="PingFang SC" w:cs="Menlo"/>
          <w:color w:val="16324F"/>
          <w:sz w:val="19"/>
          <w:shd w:fill="EEF2F4"/>
        </w:rPr>
        <w:t>@SomaKey</w:t>
      </w:r>
      <w:r>
        <w:rPr>
          <w:rFonts w:ascii="Arial Unicode MS" w:hAnsi="Arial Unicode MS" w:eastAsia="Arial Unicode MS" w:cs="Arial Unicode MS"/>
          <w:b w:val="0"/>
          <w:color w:val="243746"/>
        </w:rPr>
        <w:t>、</w:t>
      </w:r>
      <w:r>
        <w:rPr>
          <w:rFonts w:ascii="Menlo" w:hAnsi="Menlo" w:eastAsia="PingFang SC" w:cs="Menlo"/>
          <w:color w:val="16324F"/>
          <w:sz w:val="19"/>
          <w:shd w:fill="EEF2F4"/>
        </w:rPr>
        <w:t>@SomaUnique</w:t>
      </w:r>
      <w:r>
        <w:rPr>
          <w:rFonts w:ascii="Arial Unicode MS" w:hAnsi="Arial Unicode MS" w:eastAsia="Arial Unicode MS" w:cs="Arial Unicode MS"/>
          <w:b w:val="0"/>
          <w:color w:val="243746"/>
        </w:rPr>
        <w:t>、</w:t>
      </w:r>
      <w:r>
        <w:rPr>
          <w:rFonts w:ascii="Menlo" w:hAnsi="Menlo" w:eastAsia="PingFang SC" w:cs="Menlo"/>
          <w:color w:val="16324F"/>
          <w:sz w:val="19"/>
          <w:shd w:fill="EEF2F4"/>
        </w:rPr>
        <w:t>@SomaIndex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声明 stable identity 和 secondary exact access；</w:t>
      </w:r>
      <w:r>
        <w:rPr>
          <w:rFonts w:ascii="Menlo" w:hAnsi="Menlo" w:eastAsia="PingFang SC" w:cs="Menlo"/>
          <w:color w:val="16324F"/>
          <w:sz w:val="19"/>
          <w:shd w:fill="EEF2F4"/>
        </w:rPr>
        <w:t>@SomaChild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声明 parent-owned child。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Schema 只固化稳定语义。它不会声明动态业务排序、range tree、event queue 或 application policy。需要变化的 comparator、tie-break 和 control flow 留在调用点。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封闭的存储类型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V1 live storage 只接受四类 shape：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2743"/>
        <w:gridCol w:w="3393"/>
        <w:gridCol w:w="3224"/>
      </w:tblGrid>
      <w:tr>
        <w:trPr>
          <w:tblHeader w:val="true"/>
          <w:cantSplit w:val="true"/>
        </w:trPr>
        <w:tc>
          <w:tcPr>
            <w:tcW w:type="dxa" w:w="27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类型族</w:t>
            </w:r>
          </w:p>
        </w:tc>
        <w:tc>
          <w:tcPr>
            <w:tcW w:type="dxa" w:w="33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逻辑语义</w:t>
            </w:r>
          </w:p>
        </w:tc>
        <w:tc>
          <w:tcPr>
            <w:tcW w:type="dxa" w:w="3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运行时表示</w:t>
            </w:r>
          </w:p>
        </w:tc>
      </w:tr>
      <w:tr>
        <w:trPr>
          <w:cantSplit w:val="true"/>
        </w:trPr>
        <w:tc>
          <w:tcPr>
            <w:tcW w:type="dxa" w:w="27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primitive-backed scalar</w:t>
            </w:r>
          </w:p>
        </w:tc>
        <w:tc>
          <w:tcPr>
            <w:tcW w:type="dxa" w:w="33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primitive、enum、date/time/instant、显式 semantic scalar</w:t>
            </w:r>
          </w:p>
        </w:tc>
        <w:tc>
          <w:tcPr>
            <w:tcW w:type="dxa" w:w="3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primitive column</w:t>
            </w:r>
          </w:p>
        </w:tc>
      </w:tr>
      <w:tr>
        <w:trPr>
          <w:cantSplit w:val="true"/>
        </w:trPr>
        <w:tc>
          <w:tcPr>
            <w:tcW w:type="dxa" w:w="27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reference-backed immutable scalar</w:t>
            </w:r>
          </w:p>
        </w:tc>
        <w:tc>
          <w:tcPr>
            <w:tcW w:type="dxa" w:w="33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当前白名单仅 </w:t>
            </w: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String</w:t>
            </w:r>
          </w:p>
        </w:tc>
        <w:tc>
          <w:tcPr>
            <w:tcW w:type="dxa" w:w="3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typed reference column</w:t>
            </w:r>
          </w:p>
        </w:tc>
      </w:tr>
      <w:tr>
        <w:trPr>
          <w:cantSplit w:val="true"/>
        </w:trPr>
        <w:tc>
          <w:tcPr>
            <w:tcW w:type="dxa" w:w="27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compiler-flattened value</w:t>
            </w:r>
          </w:p>
        </w:tc>
        <w:tc>
          <w:tcPr>
            <w:tcW w:type="dxa" w:w="33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@SomaValue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 value semantics</w:t>
            </w:r>
          </w:p>
        </w:tc>
        <w:tc>
          <w:tcPr>
            <w:tcW w:type="dxa" w:w="3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canonical primitive/String leaf columns</w:t>
            </w:r>
          </w:p>
        </w:tc>
      </w:tr>
      <w:tr>
        <w:trPr>
          <w:cantSplit w:val="true"/>
        </w:trPr>
        <w:tc>
          <w:tcPr>
            <w:tcW w:type="dxa" w:w="27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owned structured state</w:t>
            </w:r>
          </w:p>
        </w:tc>
        <w:tc>
          <w:tcPr>
            <w:tcW w:type="dxa" w:w="339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parent-owned child</w:t>
            </w:r>
          </w:p>
        </w:tc>
        <w:tc>
          <w:tcPr>
            <w:tcW w:type="dxa" w:w="3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child Table handle 与 ownership registry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普通 object、array、DTO、</w:t>
      </w:r>
      <w:r>
        <w:rPr>
          <w:rFonts w:ascii="Menlo" w:hAnsi="Menlo" w:eastAsia="PingFang SC" w:cs="Menlo"/>
          <w:color w:val="16324F"/>
          <w:sz w:val="19"/>
          <w:shd w:fill="EEF2F4"/>
        </w:rPr>
        <w:t>List</w:t>
      </w:r>
      <w:r>
        <w:rPr>
          <w:rFonts w:ascii="Arial Unicode MS" w:hAnsi="Arial Unicode MS" w:eastAsia="Arial Unicode MS" w:cs="Arial Unicode MS"/>
          <w:b w:val="0"/>
          <w:color w:val="243746"/>
        </w:rPr>
        <w:t>、</w:t>
      </w:r>
      <w:r>
        <w:rPr>
          <w:rFonts w:ascii="Menlo" w:hAnsi="Menlo" w:eastAsia="PingFang SC" w:cs="Menlo"/>
          <w:color w:val="16324F"/>
          <w:sz w:val="19"/>
          <w:shd w:fill="EEF2F4"/>
        </w:rPr>
        <w:t>Map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graph 不能成为 live field。需要关联外部对象 时，Table 保存稳定 ID，application sidecar/registry 保存对象。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Logical type 决定 generated operation capability。Enum、date、time、instant 即使 内部复用 primitive carrier，也只暴露合法的 type-specific equality、order 和 plus/minus；carrier 不授权任意 </w:t>
      </w:r>
      <w:r>
        <w:rPr>
          <w:rFonts w:ascii="Menlo" w:hAnsi="Menlo" w:eastAsia="PingFang SC" w:cs="Menlo"/>
          <w:color w:val="16324F"/>
          <w:sz w:val="19"/>
          <w:shd w:fill="EEF2F4"/>
        </w:rPr>
        <w:t>long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arithmetic。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Normalization、hash 与确定性生成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同一语义 Schema 必须形成确定的 normalized model、leaf order、generated order 和 schema hash。排序基于明确的 Unicode code-point order，不依赖文件系统、 locale、reflection iteration 或 JVM hash iteration。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Schema hash 标识 schema contract；runtime plan hash 标识实例执行策略。二者回答 不同问题，不能互相替代。Generated output 也不能携带 timestamp、absolute path、 random id 或不稳定迭代顺序。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Generated facade 与协议分层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Application 看到的是 schema-specific Table、Batch、Scan、Cursor、Traversal、 ColumnView、child facade、Metadata、DataFlow companion 和 typed result，而不是 generic metadata interpreter。Generated code 通过窄、版本化的 runtime protocol 连接 handwritten kernel。Internal bucket、RowSlot、backing array、owner token 和 physical IR 不进入 application API。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这种分层允许 runtime 内部替换 hash layout、candidate shape、join filter 或 scheduler，同时把 schema、generated public、generated-runtime、transformation 和 kernel protocol 分开治理并在 bind/create 前 fail closed。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Runtime State Plane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Table kind、ownership 与数据角色相互正交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只有两种 public table kind：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/>
          <w:color w:val="243746"/>
          <w:sz w:val="21"/>
        </w:rPr>
        <w:t>keyed table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：拥有稳定 logical identity，支持 key point access；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/>
          <w:color w:val="243746"/>
          <w:sz w:val="21"/>
        </w:rPr>
        <w:t>dense table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：没有稳定 row identity，以 packed traversal 和 current Index 为主。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Root/child 是 ownership 维度；input/working/frontier/result 是 application data role。它们不能被压成一个“表类型”判断。例如，child 可以是 keyed 或 dense， working state 也可以因是否需要跨轮 identity 而选择不同 kind。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Packed columnar storage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每张 live Table 维持连续的 </w:t>
      </w:r>
      <w:r>
        <w:rPr>
          <w:rFonts w:ascii="Menlo" w:hAnsi="Menlo" w:eastAsia="PingFang SC" w:cs="Menlo"/>
          <w:color w:val="16324F"/>
          <w:sz w:val="19"/>
          <w:shd w:fill="EEF2F4"/>
        </w:rPr>
        <w:t>[0, size)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RowSpace。每个 leaf field 对应一条等长 typed column；optional value 使用 presence + payload；child field只保存 opaque handle。完整 schema object 只在明确 materialization boundary 构造。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5" name="Picture 5" descr="图中显示连续 RowSpace、多个 typed columns、primary locator、secondary exact structures、child handle 和 operation-local candidate scratch 的关系。" title="图 4  Packed columnar Table 的状态与派生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_storage_pla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4  Packed columnar Table 的状态与派生结构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这种结构的目标不是追求某种抽象意义上的“列存”，而是让实际 touched columns、 working-set bytes 和 candidate cardinality 决定成本。扫描两个 primitive leaf 不需要加载整行对象；point lookup 也不需要把整个 Table 转成列式 pipeline。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FLAT 与 segmented tail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Effective Plan 可以把 logical Table 绑定为 </w:t>
      </w:r>
      <w:r>
        <w:rPr>
          <w:rFonts w:ascii="Menlo" w:hAnsi="Menlo" w:eastAsia="PingFang SC" w:cs="Menlo"/>
          <w:color w:val="16324F"/>
          <w:sz w:val="19"/>
          <w:shd w:fill="EEF2F4"/>
        </w:rPr>
        <w:t>FLAT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或 </w:t>
      </w:r>
      <w:r>
        <w:rPr>
          <w:rFonts w:ascii="Menlo" w:hAnsi="Menlo" w:eastAsia="PingFang SC" w:cs="Menlo"/>
          <w:color w:val="16324F"/>
          <w:sz w:val="19"/>
          <w:shd w:fill="EEF2F4"/>
        </w:rPr>
        <w:t>FLAT_HEAD_SEGMENTED_TAIL</w:t>
      </w:r>
      <w:r>
        <w:rPr>
          <w:rFonts w:ascii="Arial Unicode MS" w:hAnsi="Arial Unicode MS" w:eastAsia="Arial Unicode MS" w:cs="Arial Unicode MS"/>
          <w:b w:val="0"/>
          <w:color w:val="243746"/>
        </w:rPr>
        <w:t>。后者保留 flat head，以 fixed-size tail Segments 扩展，服务大规模 scan/growth 和 bounded publication。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Segment 是 storage/growth/GC 的 publication unit，不是 parallel task。一个 segment 的所有 columns、presence、row link 和 child handle 必须先 private stage， 全部 allocation 与 budget admission 成功后一次发布。失败不改变 visible capacity、size、epoch 或 access state。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Primary identity 与 secondary exact access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Keyed Table 的 primary locator 完成 </w:t>
      </w:r>
      <w:r>
        <w:rPr>
          <w:rFonts w:ascii="Menlo" w:hAnsi="Menlo" w:eastAsia="PingFang SC" w:cs="Menlo"/>
          <w:color w:val="16324F"/>
          <w:sz w:val="19"/>
          <w:shd w:fill="EEF2F4"/>
        </w:rPr>
        <w:t>key -&gt; current Index</w:t>
      </w:r>
      <w:r>
        <w:rPr>
          <w:rFonts w:ascii="Arial Unicode MS" w:hAnsi="Arial Unicode MS" w:eastAsia="Arial Unicode MS" w:cs="Arial Unicode MS"/>
          <w:b w:val="0"/>
          <w:color w:val="243746"/>
        </w:rPr>
        <w:t>。Locator 可以保存 compact fingerprint 缩小候选，但命中后必须回查 authoritative columns 的完整 value equality。</w:t>
      </w:r>
      <w:r>
        <w:rPr>
          <w:rFonts w:ascii="Menlo" w:hAnsi="Menlo" w:eastAsia="PingFang SC" w:cs="Menlo"/>
          <w:color w:val="16324F"/>
          <w:sz w:val="19"/>
          <w:shd w:fill="EEF2F4"/>
        </w:rPr>
        <w:t>@SomaUnique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和 </w:t>
      </w:r>
      <w:r>
        <w:rPr>
          <w:rFonts w:ascii="Menlo" w:hAnsi="Menlo" w:eastAsia="PingFang SC" w:cs="Menlo"/>
          <w:color w:val="16324F"/>
          <w:sz w:val="19"/>
          <w:shd w:fill="EEF2F4"/>
        </w:rPr>
        <w:t>@SomaIndex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分别表达 secondary one-to-zero-or-one 与 one-to-many exact access。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Exact structures 在 append、update、remove、replace 和 compaction boundary 增量维护。读取路径不允许以 dirty flag 触发全表 rebuild、全表 sort 或 silent scan fallback。Hash、bitmap 或 link 只是派生表示，authoritative value 始终在 Table columns。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String 使用 Java value equality/hash/order。Runtime 保存 caller reference，不 copy、intern、normalize、dictionary encode 或移动到 character arena。Reference slot 是 structural bytes；String object 可达内存必须单独估算和观察。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Swap-remove、relocation 与 current Index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Keyed 与 dense Table 都使用 packed swap-remove/tail-fill。删除一个 row 时，末尾 survivor 可以填补 hole，所有 columns、presence、child handle、primary locator 和 exact structures 必须同步 relocate。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因此 current Index 只在当前 Table state 内有效。结构 mutation 以后，旧 Index 可能指向另一行。跨 operation identity 必须使用 Key 或 application-owned stable identifier；业务顺序必须由显式 comparator 或 application 专用结构维护。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Access Model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访问族不是一个万能 Pipeline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6" name="Picture 6" descr="图中从 SomaTable 分出 Point、Candidate、Column、Key、Bulk、Ownership 六条 canonical path，并显示重复复杂规则何时进入 DataFlow。" title="图 5  六类 Access 与 typed DataFlow 的分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_access_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5  六类 Access 与 typed DataFlow 的分工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1479"/>
        <w:gridCol w:w="4965"/>
        <w:gridCol w:w="2916"/>
      </w:tblGrid>
      <w:tr>
        <w:trPr>
          <w:tblHeader w:val="true"/>
          <w:cantSplit w:val="true"/>
        </w:trPr>
        <w:tc>
          <w:tcPr>
            <w:tcW w:type="dxa" w:w="14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49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适用问题</w:t>
            </w:r>
          </w:p>
        </w:tc>
        <w:tc>
          <w:tcPr>
            <w:tcW w:type="dxa" w:w="29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主要边界</w:t>
            </w:r>
          </w:p>
        </w:tc>
      </w:tr>
      <w:tr>
        <w:trPr>
          <w:cantSplit w:val="true"/>
        </w:trPr>
        <w:tc>
          <w:tcPr>
            <w:tcW w:type="dxa" w:w="14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Point</w:t>
            </w:r>
          </w:p>
        </w:tc>
        <w:tc>
          <w:tcPr>
            <w:tcW w:type="dxa" w:w="49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已知 Key、Unique 或立即消费的 current Index</w:t>
            </w:r>
          </w:p>
        </w:tc>
        <w:tc>
          <w:tcPr>
            <w:tcW w:type="dxa" w:w="29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不为一次点查构造 pipeline</w:t>
            </w:r>
          </w:p>
        </w:tc>
      </w:tr>
      <w:tr>
        <w:trPr>
          <w:cantSplit w:val="true"/>
        </w:trPr>
        <w:tc>
          <w:tcPr>
            <w:tcW w:type="dxa" w:w="14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Candidate</w:t>
            </w:r>
          </w:p>
        </w:tc>
        <w:tc>
          <w:tcPr>
            <w:tcW w:type="dxa" w:w="49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从 Packed/Exact source 继续 filter、skip、limit、sort、terminal</w:t>
            </w:r>
          </w:p>
        </w:tc>
        <w:tc>
          <w:tcPr>
            <w:tcW w:type="dxa" w:w="29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stage 只处理上游候选</w:t>
            </w:r>
          </w:p>
        </w:tc>
      </w:tr>
      <w:tr>
        <w:trPr>
          <w:cantSplit w:val="true"/>
        </w:trPr>
        <w:tc>
          <w:tcPr>
            <w:tcW w:type="dxa" w:w="14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Column</w:t>
            </w:r>
          </w:p>
        </w:tc>
        <w:tc>
          <w:tcPr>
            <w:tcW w:type="dxa" w:w="49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连续读取一个 typed leaf，或按 Index gather</w:t>
            </w:r>
          </w:p>
        </w:tc>
        <w:tc>
          <w:tcPr>
            <w:tcW w:type="dxa" w:w="29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不物化完整 row</w:t>
            </w:r>
          </w:p>
        </w:tc>
      </w:tr>
      <w:tr>
        <w:trPr>
          <w:cantSplit w:val="true"/>
        </w:trPr>
        <w:tc>
          <w:tcPr>
            <w:tcW w:type="dxa" w:w="14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Key</w:t>
            </w:r>
          </w:p>
        </w:tc>
        <w:tc>
          <w:tcPr>
            <w:tcW w:type="dxa" w:w="49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遍历或物化 stable logical keys</w:t>
            </w:r>
          </w:p>
        </w:tc>
        <w:tc>
          <w:tcPr>
            <w:tcW w:type="dxa" w:w="29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不是 physical Index 集合</w:t>
            </w:r>
          </w:p>
        </w:tc>
      </w:tr>
      <w:tr>
        <w:trPr>
          <w:cantSplit w:val="true"/>
        </w:trPr>
        <w:tc>
          <w:tcPr>
            <w:tcW w:type="dxa" w:w="14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Bulk</w:t>
            </w:r>
          </w:p>
        </w:tc>
        <w:tc>
          <w:tcPr>
            <w:tcW w:type="dxa" w:w="49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Batch append/replace、clear、child replacement</w:t>
            </w:r>
          </w:p>
        </w:tc>
        <w:tc>
          <w:tcPr>
            <w:tcW w:type="dxa" w:w="29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stage/validate/publish</w:t>
            </w:r>
          </w:p>
        </w:tc>
      </w:tr>
      <w:tr>
        <w:trPr>
          <w:cantSplit w:val="true"/>
        </w:trPr>
        <w:tc>
          <w:tcPr>
            <w:tcW w:type="dxa" w:w="14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Ownership</w:t>
            </w:r>
          </w:p>
        </w:tc>
        <w:tc>
          <w:tcPr>
            <w:tcW w:type="dxa" w:w="49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定位 parent-owned child</w:t>
            </w:r>
          </w:p>
        </w:tc>
        <w:tc>
          <w:tcPr>
            <w:tcW w:type="dxa" w:w="29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不 share、不 reparent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Direct Access 与 Transformation 是相邻能力。一次 point lookup、单列 scan 或简单 candidate chain 不需要为了“架构统一”进入 DataFlow；重复、多 source、typed operator graph 或受控 parallel 的规则才值得构建 reusable Template。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Candidate source-stage-terminal 代数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Candidate Scan 由 </w:t>
      </w:r>
      <w:r>
        <w:rPr>
          <w:rFonts w:ascii="Menlo" w:hAnsi="Menlo" w:eastAsia="PingFang SC" w:cs="Menlo"/>
          <w:color w:val="16324F"/>
          <w:sz w:val="19"/>
          <w:shd w:fill="EEF2F4"/>
        </w:rPr>
        <w:t>Source -&gt; Stage* -&gt; Terminal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组成。Source 可以是当前 packed sequence、maintained exact group、unique bridge 或 owned child。Stage 包含 Filter、Skip、Limit 和 stable Sort；Terminal 包含 Probe、Borrow、CurrentIndex、 IndexSnapshot、Materialize、Update 和 Remove。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Stage 严格按声明顺序执行。Filter 保持 upstream relative order；Skip/Limit 以进入 该 stage 的 sequence 为准；Sort 只排序当前 candidate set，不移动 Table columns。 Exact source 永远不能静默扩回全表。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One-shot 与 laziness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Intermediate 只记录 source 和 compact ordered stage，不在 terminal 之前扫描或 materialize。Terminal 接受执行后 handle 即 consumed；即使 begin、preflight、 callback 或 resource 失败，也不能重试同一 handle。Cursor、UpdateCursor、 Traversal 和 Invocation 也拥有各自 one-shot 或 callback-scoped lifecycle。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这类约束使 runtime 可以安全复用 scratch、关闭 strong reference，并在失败后明确 判断哪些对象仍然 current。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Candidate physical shape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逻辑 Candidate 可以降低为 </w:t>
      </w:r>
      <w:r>
        <w:rPr>
          <w:rFonts w:ascii="Menlo" w:hAnsi="Menlo" w:eastAsia="PingFang SC" w:cs="Menlo"/>
          <w:color w:val="16324F"/>
          <w:sz w:val="19"/>
          <w:shd w:fill="EEF2F4"/>
        </w:rPr>
        <w:t>Range</w:t>
      </w:r>
      <w:r>
        <w:rPr>
          <w:rFonts w:ascii="Arial Unicode MS" w:hAnsi="Arial Unicode MS" w:eastAsia="Arial Unicode MS" w:cs="Arial Unicode MS"/>
          <w:b w:val="0"/>
          <w:color w:val="243746"/>
        </w:rPr>
        <w:t>、</w:t>
      </w:r>
      <w:r>
        <w:rPr>
          <w:rFonts w:ascii="Menlo" w:hAnsi="Menlo" w:eastAsia="PingFang SC" w:cs="Menlo"/>
          <w:color w:val="16324F"/>
          <w:sz w:val="19"/>
          <w:shd w:fill="EEF2F4"/>
        </w:rPr>
        <w:t>SegmentRange</w:t>
      </w:r>
      <w:r>
        <w:rPr>
          <w:rFonts w:ascii="Arial Unicode MS" w:hAnsi="Arial Unicode MS" w:eastAsia="Arial Unicode MS" w:cs="Arial Unicode MS"/>
          <w:b w:val="0"/>
          <w:color w:val="243746"/>
        </w:rPr>
        <w:t>、</w:t>
      </w:r>
      <w:r>
        <w:rPr>
          <w:rFonts w:ascii="Menlo" w:hAnsi="Menlo" w:eastAsia="PingFang SC" w:cs="Menlo"/>
          <w:color w:val="16324F"/>
          <w:sz w:val="19"/>
          <w:shd w:fill="EEF2F4"/>
        </w:rPr>
        <w:t>ExactSinglePass</w:t>
      </w:r>
      <w:r>
        <w:rPr>
          <w:rFonts w:ascii="Arial Unicode MS" w:hAnsi="Arial Unicode MS" w:eastAsia="Arial Unicode MS" w:cs="Arial Unicode MS"/>
          <w:b w:val="0"/>
          <w:color w:val="243746"/>
        </w:rPr>
        <w:t>、</w:t>
      </w:r>
      <w:r>
        <w:rPr>
          <w:rFonts w:ascii="Menlo" w:hAnsi="Menlo" w:eastAsia="PingFang SC" w:cs="Menlo"/>
          <w:color w:val="16324F"/>
          <w:sz w:val="19"/>
          <w:shd w:fill="EEF2F4"/>
        </w:rPr>
        <w:t>Bitmap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或 </w:t>
      </w:r>
      <w:r>
        <w:rPr>
          <w:rFonts w:ascii="Menlo" w:hAnsi="Menlo" w:eastAsia="PingFang SC" w:cs="Menlo"/>
          <w:color w:val="16324F"/>
          <w:sz w:val="19"/>
          <w:shd w:fill="EEF2F4"/>
        </w:rPr>
        <w:t>SparseIndexes</w:t>
      </w:r>
      <w:r>
        <w:rPr>
          <w:rFonts w:ascii="Arial Unicode MS" w:hAnsi="Arial Unicode MS" w:eastAsia="Arial Unicode MS" w:cs="Arial Unicode MS"/>
          <w:b w:val="0"/>
          <w:color w:val="243746"/>
        </w:rPr>
        <w:t>。选择由 cardinality、density、barrier、reuse、sort 和 budget 决定：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contiguous single-pass 使用 Range/SegmentRange；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maintained exact + scalar terminal 直接使用 ExactSinglePass；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ultra-sparse 且需要复用时使用 compact indexes；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dense repeated membership 在公式允许时使用 Bitmap；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 xml:space="preserve">只有 sort、stable random access 或 multi-pass 才 materialize </w:t>
      </w:r>
      <w:r>
        <w:rPr>
          <w:rFonts w:ascii="Menlo" w:hAnsi="Menlo" w:eastAsia="PingFang SC" w:cs="Menlo"/>
          <w:color w:val="16324F"/>
          <w:sz w:val="20"/>
          <w:shd w:fill="EEF2F4"/>
        </w:rPr>
        <w:t>IndexBuffer</w:t>
      </w: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这些 shape 是 closed internal strategy，不产生 public pull cursor。Choice 和 formula identity进入 Explain，同时保留 deterministic fallback。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成本模型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设 </w:t>
      </w:r>
      <w:r>
        <w:rPr>
          <w:rFonts w:ascii="Menlo" w:hAnsi="Menlo" w:eastAsia="PingFang SC" w:cs="Menlo"/>
          <w:color w:val="16324F"/>
          <w:sz w:val="19"/>
          <w:shd w:fill="EEF2F4"/>
        </w:rPr>
        <w:t>N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为 Table size，</w:t>
      </w:r>
      <w:r>
        <w:rPr>
          <w:rFonts w:ascii="Menlo" w:hAnsi="Menlo" w:eastAsia="PingFang SC" w:cs="Menlo"/>
          <w:color w:val="16324F"/>
          <w:sz w:val="19"/>
          <w:shd w:fill="EEF2F4"/>
        </w:rPr>
        <w:t>M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为当前候选数，</w:t>
      </w:r>
      <w:r>
        <w:rPr>
          <w:rFonts w:ascii="Menlo" w:hAnsi="Menlo" w:eastAsia="PingFang SC" w:cs="Menlo"/>
          <w:color w:val="16324F"/>
          <w:sz w:val="19"/>
          <w:shd w:fill="EEF2F4"/>
        </w:rPr>
        <w:t>C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为 touched columns，</w:t>
      </w:r>
      <w:r>
        <w:rPr>
          <w:rFonts w:ascii="Menlo" w:hAnsi="Menlo" w:eastAsia="PingFang SC" w:cs="Menlo"/>
          <w:color w:val="16324F"/>
          <w:sz w:val="19"/>
          <w:shd w:fill="EEF2F4"/>
        </w:rPr>
        <w:t>G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为 exact group size：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2565"/>
        <w:gridCol w:w="2735"/>
        <w:gridCol w:w="4060"/>
      </w:tblGrid>
      <w:tr>
        <w:trPr>
          <w:tblHeader w:val="true"/>
          <w:cantSplit w:val="true"/>
        </w:trPr>
        <w:tc>
          <w:tcPr>
            <w:tcW w:type="dxa" w:w="25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27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时间主项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allocation / retained 主项</w:t>
            </w:r>
          </w:p>
        </w:tc>
      </w:tr>
      <w:tr>
        <w:trPr>
          <w:cantSplit w:val="true"/>
        </w:trPr>
        <w:tc>
          <w:tcPr>
            <w:tcW w:type="dxa" w:w="25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Packed scan</w:t>
            </w:r>
          </w:p>
        </w:tc>
        <w:tc>
          <w:tcPr>
            <w:tcW w:type="dxa" w:w="27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O(N × C)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仅在 stage/terminal需要时使用 scratch</w:t>
            </w:r>
          </w:p>
        </w:tc>
      </w:tr>
      <w:tr>
        <w:trPr>
          <w:cantSplit w:val="true"/>
        </w:trPr>
        <w:tc>
          <w:tcPr>
            <w:tcW w:type="dxa" w:w="25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Primary/Unique point</w:t>
            </w:r>
          </w:p>
        </w:tc>
        <w:tc>
          <w:tcPr>
            <w:tcW w:type="dxa" w:w="27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probe + full equality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maintained locator/index</w:t>
            </w:r>
          </w:p>
        </w:tc>
      </w:tr>
      <w:tr>
        <w:trPr>
          <w:cantSplit w:val="true"/>
        </w:trPr>
        <w:tc>
          <w:tcPr>
            <w:tcW w:type="dxa" w:w="25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Exact group</w:t>
            </w:r>
          </w:p>
        </w:tc>
        <w:tc>
          <w:tcPr>
            <w:tcW w:type="dxa" w:w="27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probe + </w:t>
            </w: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O(G)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group/link retained</w:t>
            </w:r>
          </w:p>
        </w:tc>
      </w:tr>
      <w:tr>
        <w:trPr>
          <w:cantSplit w:val="true"/>
        </w:trPr>
        <w:tc>
          <w:tcPr>
            <w:tcW w:type="dxa" w:w="25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Filter/Limit</w:t>
            </w:r>
          </w:p>
        </w:tc>
        <w:tc>
          <w:tcPr>
            <w:tcW w:type="dxa" w:w="27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O(M)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 或短路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fused counters / primitive scratch</w:t>
            </w:r>
          </w:p>
        </w:tc>
      </w:tr>
      <w:tr>
        <w:trPr>
          <w:cantSplit w:val="true"/>
        </w:trPr>
        <w:tc>
          <w:tcPr>
            <w:tcW w:type="dxa" w:w="25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Full sort</w:t>
            </w:r>
          </w:p>
        </w:tc>
        <w:tc>
          <w:tcPr>
            <w:tcW w:type="dxa" w:w="27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O(M log M)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reusable </w:t>
            </w: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O(M)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 primitive scratch</w:t>
            </w:r>
          </w:p>
        </w:tc>
      </w:tr>
      <w:tr>
        <w:trPr>
          <w:cantSplit w:val="true"/>
        </w:trPr>
        <w:tc>
          <w:tcPr>
            <w:tcW w:type="dxa" w:w="25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Best-one</w:t>
            </w:r>
          </w:p>
        </w:tc>
        <w:tc>
          <w:tcPr>
            <w:tcW w:type="dxa" w:w="27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O(M)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constant 或 single-index scratch</w:t>
            </w:r>
          </w:p>
        </w:tc>
      </w:tr>
      <w:tr>
        <w:trPr>
          <w:cantSplit w:val="true"/>
        </w:trPr>
        <w:tc>
          <w:tcPr>
            <w:tcW w:type="dxa" w:w="25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Snapshot</w:t>
            </w:r>
          </w:p>
        </w:tc>
        <w:tc>
          <w:tcPr>
            <w:tcW w:type="dxa" w:w="27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O(M)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detached Index copy</w:t>
            </w:r>
          </w:p>
        </w:tc>
      </w:tr>
      <w:tr>
        <w:trPr>
          <w:cantSplit w:val="true"/>
        </w:trPr>
        <w:tc>
          <w:tcPr>
            <w:tcW w:type="dxa" w:w="25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Materialize</w:t>
            </w:r>
          </w:p>
        </w:tc>
        <w:tc>
          <w:tcPr>
            <w:tcW w:type="dxa" w:w="27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O(M × object graph)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detached graph + budget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成本模型让“先缩小候选，再进行昂贵操作”成为可执行契约，而不是编码建议。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Transformation 与 Typed DataFlow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Access、Transformation 与 Effect 分责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7" name="Picture 7" descr="Access 决定数据来源与定位，Transformation 改变 shape、cardinality、order 和 lineage，Effect 决定探测、交付、物化或安全提交。" title="图 6  Access、Transformation 和 Effect 的责任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_transformation_ro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6  Access、Transformation 和 Effect 的责任边界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Transformation 处理有限、schema-bound、进程内的 typed computation。其输入来自 Table、Column、Key、Candidate 或 owned child；其输出可以是 scalar、detached columnar、callback delivery、materialized object 或 detached effect intent。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Logical Shape 同时描述 element、cardinality、lineage、value state、logical order 和 effect capability。Candidate、Projected、Grouped、Joined、Expanded、 Windowed、Scalar 和 Delta 不是 Java Collection 别名，而是约束合法组合和资源的 语义角色。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Operator 与语义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V1 支持 Selection、Projection、Aggregation、Prefix Scan、Partition、Combine、 stable Sort、GroupBy、inner/left-outer/left-semi/left-anti equi Join、 owned-child Expand、finite ordered Window 和受控 Effect。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GroupBy 按 key 首次出现顺序产生 group；Join 保持 left-driven order 和 duplicate multiplicity；Window 只接受 finite、已建立 total order 的输入。Full outer、cross、 theta join、任意 flatMap、retained temporal window 和 automatic incremental view 不属于 V1。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Built-in integral arithmetic 使用 fail-closed checked semantics。Add/subtract/ multiply、</w:t>
      </w:r>
      <w:r>
        <w:rPr>
          <w:rFonts w:ascii="Menlo" w:hAnsi="Menlo" w:eastAsia="PingFang SC" w:cs="Menlo"/>
          <w:color w:val="16324F"/>
          <w:sz w:val="19"/>
          <w:shd w:fill="EEF2F4"/>
        </w:rPr>
        <w:t>Long.MIN_VALUE / -1</w:t>
      </w:r>
      <w:r>
        <w:rPr>
          <w:rFonts w:ascii="Arial Unicode MS" w:hAnsi="Arial Unicode MS" w:eastAsia="Arial Unicode MS" w:cs="Arial Unicode MS"/>
          <w:b w:val="0"/>
          <w:color w:val="243746"/>
        </w:rPr>
        <w:t>、division by zero、sum/prefix/output representability 都在稳定 structured failure 下处理；sequential 与 parallel 对 同一数学输入必须得到相同结果或相同 failure identity。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Definition、Template 与 Invocation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8" name="Picture 8" descr="Immutable Definition 经 analyzer 和 static lowering 形成 reusable Template；每次显式 bind current sources、parameters、policy 与 budget，创建 one-shot Invocation，最后发布 Result 或 safe-point Effect。" title="图 7  DataFlow 的 Definition、Template 与 Invocation 生命周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_dataflow_lifecyc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7  DataFlow 的 Definition、Template 与 Invocation 生命周期</w:t>
      </w:r>
    </w:p>
    <w:p>
      <w:pPr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19"/>
          <w:shd w:fill="EEF2F4"/>
        </w:rPr>
        <w:t>DataFlowDefinition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拥有 immutable logical semantics，不持有 Table、current Index 或 scratch。</w:t>
      </w:r>
      <w:r>
        <w:rPr>
          <w:rFonts w:ascii="Menlo" w:hAnsi="Menlo" w:eastAsia="PingFang SC" w:cs="Menlo"/>
          <w:color w:val="16324F"/>
          <w:sz w:val="19"/>
          <w:shd w:fill="EEF2F4"/>
        </w:rPr>
        <w:t>DataFlowTemplate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拥有 analyzed graph、static lowering 和 protocol identity，但不持有 current state 或 executor。</w:t>
      </w:r>
      <w:r>
        <w:rPr>
          <w:rFonts w:ascii="Menlo" w:hAnsi="Menlo" w:eastAsia="PingFang SC" w:cs="Menlo"/>
          <w:color w:val="16324F"/>
          <w:sz w:val="19"/>
          <w:shd w:fill="EEF2F4"/>
        </w:rPr>
        <w:t>DataFlowInvocation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绑定当前 source、parameter、budget 和 Context，是 one-shot、非线程共享的执行 对象。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这种分相把“规则可以复用”和“当前状态不能被隐式长期持有”同时表达出来。 Application 显式保存 Template，也显式决定 Context 和 executor 生命周期。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Lowering 与物理策略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Analyzer 是 Value、Shape、operator、lineage 和 failure legality 的唯一执行语义 Owner。Single-source Candidate region 可以降低为 compact candidate program； required numeric column + constant arithmetic/comparison 的 common chain可以 降低为 closed whole-loop kernel；复杂 relation 可以在 formula-bound 条件下选择 hash、preaggregate、min/max 或 Bloom runtime filter。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物理策略必须满足：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不修改共享 Template；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不通过 wall-clock 试跑自调优；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不依赖 hash iteration 或 worker completion order；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不改变 result、order、failure 或 Effect；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资源受 Invocation budget 约束；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choice、reason 与 fallback 进入 Explain。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Deterministic parallel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Sequential 是语义基准。Adaptive parallel 只在成本公式和 operator traits 支持时 启用；opaque callback、built-in floating left fold、无法保持 order 的 short-circuit 和不安全 Effect 必须 deterministic fallback。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Worker 使用独立 scratch 和 partial state，按 logical morsel ordinal merge。 Managed executor 由 </w:t>
      </w:r>
      <w:r>
        <w:rPr>
          <w:rFonts w:ascii="Menlo" w:hAnsi="Menlo" w:eastAsia="PingFang SC" w:cs="Menlo"/>
          <w:color w:val="16324F"/>
          <w:sz w:val="19"/>
          <w:shd w:fill="EEF2F4"/>
        </w:rPr>
        <w:t>DataFlowContext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持有并在 close 时释放；borrowed executor 永不由 SOMA shutdown；common pool 只有 caller 显式传入时才使用。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Result Delivery 与 Effect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Eager Detached 是默认 result delivery：完整构造、预算通过、guard/scratch 清理 后一次发布。Callback Scoped 是唯一 lazy output：同步、one-shot、read-only， Cursor 只在 callback 内有效，可以 bounded early stop，但不能返回 partial result、 绕过 high-expansion admission 或获得 transaction。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Effect 在 commit 前冻结 MutationSet，完成 target、lineage、resource、access path 和 conflict preflight，再在 single-aggregate safe point deterministic commit。 Multi-source computation 不获得跨 Table atomicity；跨 root command 由 application 明确排序和补偿。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Plan、Resource 与 Observability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Metadata control plane 分相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9" name="Picture 9" descr="从编译生成的 immutable Descriptor 开始，application 在 freeze 前修改 Builder，形成 immutable Effective Metadata；运行时只发布 detached topology、Observation 与 Explain。" title="图 8  Descriptor、Plan、Effective Metadata、Runtime Metadata 与 Observation 分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_metadata_pha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8  Descriptor、Plan、Effective Metadata、Runtime Metadata 与 Observation 分相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2561"/>
        <w:gridCol w:w="4630"/>
        <w:gridCol w:w="2169"/>
      </w:tblGrid>
      <w:tr>
        <w:trPr>
          <w:tblHeader w:val="true"/>
          <w:cantSplit w:val="true"/>
        </w:trPr>
        <w:tc>
          <w:tcPr>
            <w:tcW w:type="dxa" w:w="25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46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拥有的事实</w:t>
            </w:r>
          </w:p>
        </w:tc>
        <w:tc>
          <w:tcPr>
            <w:tcW w:type="dxa" w:w="21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可变性</w:t>
            </w:r>
          </w:p>
        </w:tc>
      </w:tr>
      <w:tr>
        <w:trPr>
          <w:cantSplit w:val="true"/>
        </w:trPr>
        <w:tc>
          <w:tcPr>
            <w:tcW w:type="dxa" w:w="25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Descriptor</w:t>
            </w:r>
          </w:p>
        </w:tc>
        <w:tc>
          <w:tcPr>
            <w:tcW w:type="dxa" w:w="46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schema、type、access、ownership</w:t>
            </w:r>
          </w:p>
        </w:tc>
        <w:tc>
          <w:tcPr>
            <w:tcW w:type="dxa" w:w="21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immutable</w:t>
            </w:r>
          </w:p>
        </w:tc>
      </w:tr>
      <w:tr>
        <w:trPr>
          <w:cantSplit w:val="true"/>
        </w:trPr>
        <w:tc>
          <w:tcPr>
            <w:tcW w:type="dxa" w:w="25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Plan Builder</w:t>
            </w:r>
          </w:p>
        </w:tc>
        <w:tc>
          <w:tcPr>
            <w:tcW w:type="dxa" w:w="46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capacity、workload、resource、output、stats、parallel、String profile</w:t>
            </w:r>
          </w:p>
        </w:tc>
        <w:tc>
          <w:tcPr>
            <w:tcW w:type="dxa" w:w="21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freeze 前 mutable</w:t>
            </w:r>
          </w:p>
        </w:tc>
      </w:tr>
      <w:tr>
        <w:trPr>
          <w:cantSplit w:val="true"/>
        </w:trPr>
        <w:tc>
          <w:tcPr>
            <w:tcW w:type="dxa" w:w="25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Effective Metadata</w:t>
            </w:r>
          </w:p>
        </w:tc>
        <w:tc>
          <w:tcPr>
            <w:tcW w:type="dxa" w:w="46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validated layout、access、resource、identity</w:t>
            </w:r>
          </w:p>
        </w:tc>
        <w:tc>
          <w:tcPr>
            <w:tcW w:type="dxa" w:w="21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immutable</w:t>
            </w:r>
          </w:p>
        </w:tc>
      </w:tr>
      <w:tr>
        <w:trPr>
          <w:cantSplit w:val="true"/>
        </w:trPr>
        <w:tc>
          <w:tcPr>
            <w:tcW w:type="dxa" w:w="25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Runtime Metadata</w:t>
            </w:r>
          </w:p>
        </w:tc>
        <w:tc>
          <w:tcPr>
            <w:tcW w:type="dxa" w:w="46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Group/member/Table/Segment/access topology snapshot</w:t>
            </w:r>
          </w:p>
        </w:tc>
        <w:tc>
          <w:tcPr>
            <w:tcW w:type="dxa" w:w="21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detached snapshot</w:t>
            </w:r>
          </w:p>
        </w:tc>
      </w:tr>
      <w:tr>
        <w:trPr>
          <w:cantSplit w:val="true"/>
        </w:trPr>
        <w:tc>
          <w:tcPr>
            <w:tcW w:type="dxa" w:w="25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Observation / Explain</w:t>
            </w:r>
          </w:p>
        </w:tc>
        <w:tc>
          <w:tcPr>
            <w:tcW w:type="dxa" w:w="46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current/high-water/outcome/physical reason</w:t>
            </w:r>
          </w:p>
        </w:tc>
        <w:tc>
          <w:tcPr>
            <w:tcW w:type="dxa" w:w="21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detached snapshot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Payload、candidate、scratch、output 和 live membership registry 不是 Metadata。 Hot path 不解析动态 metadata，也不从环境变量、global registry 或隐藏 fallback 读取策略。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Resource hierarchy</w:t>
      </w:r>
    </w:p>
    <w:p>
      <w:pPr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19"/>
          <w:shd w:fill="EEF2F4"/>
        </w:rPr>
        <w:t>GroupLedger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拥有 member maximum structural entitlement、actual retained 和 growth transient hard limit；</w:t>
      </w:r>
      <w:r>
        <w:rPr>
          <w:rFonts w:ascii="Menlo" w:hAnsi="Menlo" w:eastAsia="PingFang SC" w:cs="Menlo"/>
          <w:color w:val="16324F"/>
          <w:sz w:val="19"/>
          <w:shd w:fill="EEF2F4"/>
        </w:rPr>
        <w:t>TableLedger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只做 parent-owned attribution，不二次 扣费；</w:t>
      </w:r>
      <w:r>
        <w:rPr>
          <w:rFonts w:ascii="Menlo" w:hAnsi="Menlo" w:eastAsia="PingFang SC" w:cs="Menlo"/>
          <w:color w:val="16324F"/>
          <w:sz w:val="19"/>
          <w:shd w:fill="EEF2F4"/>
        </w:rPr>
        <w:t>InvocationLedger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独立拥有一次 DataFlow 的 shared/worker scratch、 output、tasks、workers 和 queue。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Structural retained、growth transient、operation scratch、Invocation output 和 JVM heap必须分开。Current lease 可以回落，high-water 单调；release 可以把 current 降为零，但不能伪造历史高点。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Planning 与 hard maximum</w:t>
      </w:r>
    </w:p>
    <w:p>
      <w:pPr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19"/>
          <w:shd w:fill="EEF2F4"/>
        </w:rPr>
        <w:t>planningRows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是物理 formula 的 non-binding hint，超过它不失败； </w:t>
      </w:r>
      <w:r>
        <w:rPr>
          <w:rFonts w:ascii="Menlo" w:hAnsi="Menlo" w:eastAsia="PingFang SC" w:cs="Menlo"/>
          <w:color w:val="16324F"/>
          <w:sz w:val="19"/>
          <w:shd w:fill="EEF2F4"/>
        </w:rPr>
        <w:t>maximumRows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是 hard contract，reserve/append 在越界前以 resource failure 拒绝。类似地，materialization 和 high-expansion output 需要显式 budget 或 plan-default finite bound。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String resource accounting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String reference slot、presence 和 locator 属于可精确 admission 的 structural bytes；String object 的 reachable bytes 取决于 length、value cardinality、 distinct object identity、sharing、presence、field role 和 simultaneously-live Table count。</w:t>
      </w:r>
    </w:p>
    <w:p>
      <w:pPr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19"/>
          <w:shd w:fill="EEF2F4"/>
        </w:rPr>
        <w:t>StringResourceProfile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是 caller-declared、versioned、 </w:t>
      </w:r>
      <w:r>
        <w:rPr>
          <w:rFonts w:ascii="Menlo" w:hAnsi="Menlo" w:eastAsia="PingFang SC" w:cs="Menlo"/>
          <w:color w:val="16324F"/>
          <w:sz w:val="19"/>
          <w:shd w:fill="EEF2F4"/>
        </w:rPr>
        <w:t>PROFILED_UNVERIFIED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estimate，不是 schema length、hard heap cap 或 mutation admission。实际 sharing 和 heap/GC 只能由 qualification 观察。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Observation 的边界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Stats 区分 current facts、since-reset counters、lifetime/high-water 和 last-operation detail。Explain 说明 shape、lineage、order、barrier、access path、 kernel、parallel choice、fallback 和 budget。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它们都是 detached diagnostics，不是业务事实、planner 的第二输入源或隐式 telemetry。Runtime 不写 stdout/stderr，不安装 global logger，也不执行隐藏网络或 文件 I/O。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Correctness 与 Failure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Stable state 与按构造即正确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一个公开 stable state 必须同时满足 packed RowSpace、column/presence 对齐、 primary/exact structure current、ownership forest 无 dangling/share/cycle、 epoch/view/operation/lifecycle 自洽以及 stats 不伪造事实。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关键不变量由事实产生处的 abstraction 关闭：compiler normalized model关闭 schema legality，storage/mutation coordinator关闭 Table publication，one-shot Builder关闭 Definition graph，Template/Invocation关闭 bind、budget、guard 和 protocol，shape-specific factory关闭非法 Result/Delta。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Preflight、stage、publish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10" name="Picture 10" descr="输入验证后依次执行 identity、resource、ownership 和 conflict preflight，再私有 stage columns 与派生结构，最后一次 publish；任一 expected failure 保留旧 stable state。" title="图 9  Mutation 与 Result 的原子发布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_atomic_publis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9  Mutation 与 Result 的原子发布路径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D5DEE3"/>
          <w:left w:val="single" w:sz="4" w:space="0" w:color="D5DEE3"/>
          <w:bottom w:val="single" w:sz="4" w:space="0" w:color="D5DEE3"/>
          <w:right w:val="single" w:sz="4" w:space="0" w:color="D5DEE3"/>
          <w:insideH w:val="single" w:sz="4" w:space="0" w:color="D5DEE3"/>
          <w:insideV w:val="single" w:sz="4" w:space="0" w:color="D5DE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5" w:type="dxa"/>
              <w:start w:w="135" w:type="dxa"/>
              <w:bottom w:w="105" w:type="dxa"/>
              <w:end w:w="105" w:type="dxa"/>
            </w:tcMar>
            <w:shd w:fill="F3F5F6"/>
          </w:tcPr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>validate input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-&gt; preflight identity / unique / ownership / resource / epoch</w:t>
            </w:r>
          </w:p>
          <w:p>
            <w:pPr>
              <w:pStyle w:val="CodeBlockSOMA"/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-&gt; stage columns / locator / exact structure / child delta</w:t>
            </w:r>
          </w:p>
          <w:p>
            <w:pPr>
              <w:pStyle w:val="CodeBlockSOMA"/>
              <w:keepNext w:val="0"/>
              <w:keepLines/>
              <w:widowControl w:val="true"/>
              <w:tabs>
                <w:tab w:pos="8712" w:val="right"/>
              </w:tabs>
            </w:pPr>
            <w:r>
              <w:rPr>
                <w:rFonts w:ascii="Menlo" w:hAnsi="Menlo" w:eastAsia="PingFang SC" w:cs="Menlo"/>
                <w:color w:val="27343D"/>
                <w:sz w:val="17"/>
              </w:rPr>
              <w:t xml:space="preserve">  -&gt; publish one coherent state</w:t>
            </w:r>
            <w:r>
              <w:rPr>
                <w:rFonts w:ascii="Arial Unicode MS" w:hAnsi="Arial Unicode MS" w:eastAsia="Arial Unicode MS" w:cs="Arial Unicode MS"/>
                <w:b/>
                <w:color w:val="637381"/>
                <w:sz w:val="14"/>
              </w:rPr>
              <w:br/>
              <w:tab/>
              <w:t>TEXT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Expected failure 不暴露部分 mutation，也不返回 partial detached result。Growth stage-before-publish 可以保护旧 stable state，但 raw </w:t>
      </w:r>
      <w:r>
        <w:rPr>
          <w:rFonts w:ascii="Menlo" w:hAnsi="Menlo" w:eastAsia="PingFang SC" w:cs="Menlo"/>
          <w:color w:val="16324F"/>
          <w:sz w:val="19"/>
          <w:shd w:fill="EEF2F4"/>
        </w:rPr>
        <w:t>VirtualMachineError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或 </w:t>
      </w:r>
      <w:r>
        <w:rPr>
          <w:rFonts w:ascii="Menlo" w:hAnsi="Menlo" w:eastAsia="PingFang SC" w:cs="Menlo"/>
          <w:color w:val="16324F"/>
          <w:sz w:val="19"/>
          <w:shd w:fill="EEF2F4"/>
        </w:rPr>
        <w:t>OutOfMemoryError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不会被包装成可恢复业务失败。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Structured error envelope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Runtime error 至少包含 category、stable code、operation、logical path、bounded safe context 和必要 cause。Caller 根据结构化字段处理，不解析 message。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3341"/>
        <w:gridCol w:w="3947"/>
        <w:gridCol w:w="2072"/>
      </w:tblGrid>
      <w:tr>
        <w:trPr>
          <w:tblHeader w:val="true"/>
          <w:cantSplit w:val="true"/>
        </w:trPr>
        <w:tc>
          <w:tcPr>
            <w:tcW w:type="dxa" w:w="33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典型语义</w:t>
            </w:r>
          </w:p>
        </w:tc>
        <w:tc>
          <w:tcPr>
            <w:tcW w:type="dxa" w:w="20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失败后状态</w:t>
            </w:r>
          </w:p>
        </w:tc>
      </w:tr>
      <w:tr>
        <w:trPr>
          <w:cantSplit w:val="true"/>
        </w:trPr>
        <w:tc>
          <w:tcPr>
            <w:tcW w:type="dxa" w:w="33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invalid input / lookup / conflict</w:t>
            </w:r>
          </w:p>
        </w:tc>
        <w:tc>
          <w:tcPr>
            <w:tcW w:type="dxa" w:w="3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输入或当前事实不满足 operation</w:t>
            </w:r>
          </w:p>
        </w:tc>
        <w:tc>
          <w:tcPr>
            <w:tcW w:type="dxa" w:w="20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aggregate 仍可信</w:t>
            </w:r>
          </w:p>
        </w:tc>
      </w:tr>
      <w:tr>
        <w:trPr>
          <w:cantSplit w:val="true"/>
        </w:trPr>
        <w:tc>
          <w:tcPr>
            <w:tcW w:type="dxa" w:w="33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lifecycle</w:t>
            </w:r>
          </w:p>
        </w:tc>
        <w:tc>
          <w:tcPr>
            <w:tcW w:type="dxa" w:w="3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one-shot handle、View、Table 已失效</w:t>
            </w:r>
          </w:p>
        </w:tc>
        <w:tc>
          <w:tcPr>
            <w:tcW w:type="dxa" w:w="20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其他合法 owner 仍可信</w:t>
            </w:r>
          </w:p>
        </w:tc>
      </w:tr>
      <w:tr>
        <w:trPr>
          <w:cantSplit w:val="true"/>
        </w:trPr>
        <w:tc>
          <w:tcPr>
            <w:tcW w:type="dxa" w:w="33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compatibility</w:t>
            </w:r>
          </w:p>
        </w:tc>
        <w:tc>
          <w:tcPr>
            <w:tcW w:type="dxa" w:w="3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schema/protocol/plan 不匹配</w:t>
            </w:r>
          </w:p>
        </w:tc>
        <w:tc>
          <w:tcPr>
            <w:tcW w:type="dxa" w:w="20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create/bind 不发布</w:t>
            </w:r>
          </w:p>
        </w:tc>
      </w:tr>
      <w:tr>
        <w:trPr>
          <w:cantSplit w:val="true"/>
        </w:trPr>
        <w:tc>
          <w:tcPr>
            <w:tcW w:type="dxa" w:w="33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resource</w:t>
            </w:r>
          </w:p>
        </w:tc>
        <w:tc>
          <w:tcPr>
            <w:tcW w:type="dxa" w:w="3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budget/provider/preflight 拒绝</w:t>
            </w:r>
          </w:p>
        </w:tc>
        <w:tc>
          <w:tcPr>
            <w:tcW w:type="dxa" w:w="20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旧状态仍可信</w:t>
            </w:r>
          </w:p>
        </w:tc>
      </w:tr>
      <w:tr>
        <w:trPr>
          <w:cantSplit w:val="true"/>
        </w:trPr>
        <w:tc>
          <w:tcPr>
            <w:tcW w:type="dxa" w:w="33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callback</w:t>
            </w:r>
          </w:p>
        </w:tc>
        <w:tc>
          <w:tcPr>
            <w:tcW w:type="dxa" w:w="3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application callback 抛出普通异常</w:t>
            </w:r>
          </w:p>
        </w:tc>
        <w:tc>
          <w:tcPr>
            <w:tcW w:type="dxa" w:w="20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按原子性保留旧状态</w:t>
            </w:r>
          </w:p>
        </w:tc>
      </w:tr>
      <w:tr>
        <w:trPr>
          <w:cantSplit w:val="true"/>
        </w:trPr>
        <w:tc>
          <w:tcPr>
            <w:tcW w:type="dxa" w:w="33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internal / unexpected</w:t>
            </w:r>
          </w:p>
        </w:tc>
        <w:tc>
          <w:tcPr>
            <w:tcW w:type="dxa" w:w="3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impossible state 或 table-owned 未分类失败</w:t>
            </w:r>
          </w:p>
        </w:tc>
        <w:tc>
          <w:tcPr>
            <w:tcW w:type="dxa" w:w="20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aggregate faulted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Error context 不包含 absolute path、credential、full row dump、raw handle/bucket/ Index，也不调用任意 payload 的 </w:t>
      </w:r>
      <w:r>
        <w:rPr>
          <w:rFonts w:ascii="Menlo" w:hAnsi="Menlo" w:eastAsia="PingFang SC" w:cs="Menlo"/>
          <w:color w:val="16324F"/>
          <w:sz w:val="19"/>
          <w:shd w:fill="EEF2F4"/>
        </w:rPr>
        <w:t>toString()</w:t>
      </w:r>
      <w:r>
        <w:rPr>
          <w:rFonts w:ascii="Arial Unicode MS" w:hAnsi="Arial Unicode MS" w:eastAsia="Arial Unicode MS" w:cs="Arial Unicode MS"/>
          <w:b w:val="0"/>
          <w:color w:val="243746"/>
        </w:rPr>
        <w:t>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Faulted aggregate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Root 与 owned children 共享 aggregate trust state。只有能够证明旧 stable state 的 expected failure 才允许继续使用；internal 或 table-owned unexpected failure 使整个 aggregate 单向进入 faulted。Faulted aggregate 拒绝普通 access、mutation、 child navigation 和 DataFlow acquire，只保留 bounded diagnostics 与 root cleanup attempt。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Faulted 不等于 released。前者表示事实可信度无法证明，后者是资源 lifecycle 的 terminal transition。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Reentrancy 与 escape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同一 aggregate active operation 期间不允许嵌套访问。Cursor、UpdateCursor、 ColumnView、callback result 和 one-shot Invocation 不能越过各自 validity；parallel worker 只共享一次 Invocation 的独占权，不获得并发调用 Table API 的资格。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性能工程与物理选择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北极星与成本分解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的性能目标是让 operation 由有效数据工作量主导，而不是由临时对象、装箱、 反射、hidden rebuild、过度 indirection 或 boundary materialization 主导。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每个 workload 应先形成 Access Pattern Card，至少说明 table role/kind/ownership、 row/capacity、hot columns、scan/exact/update/sort/materialize 比例、group selectivity、String profile、relation multiplicity、output bound、stats mode 和 lifecycle。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一次 operation 的总成本应分解为 source、candidate work、callback/comparator、 sort scratch、locator/index maintenance、compaction、growth transient、retained storage、stats 和 optional materialization。DataFlow 还要分离 build、compile、 bind、execute、barrier、parallel merge、effect commit 和 detached output。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永久机械约束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Canonical hot path 必须保持：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packed SoA 与 concrete typed columns；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不创建 per-row object、tuple、iterator 或 boxed key；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exact read 不重建全表；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candidate stage 不复制完整 arrays，也不扩回全表；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sort 只处理当前 candidate；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growth 和 large output 在明确 boundary stage/admit；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diagnostics 默认低干扰；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object graph、reflection、metadata interpreter、Java Stream 和 generic node 不进入 canonical hot storage/path。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Segment、Morsel 与 Vector</w:t>
      </w:r>
    </w:p>
    <w:p>
      <w:pPr>
        <w:keepNext/>
        <w:keepLines/>
        <w:spacing w:before="120" w:after="0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11" name="Picture 11" descr="Segment 服务存储与发布，Morsel 服务调度、取消和有序 merge，Vector 服务 cache/JIT inner loop；它们不共享一个固定粒度。" title="图 10  Storage Segment、Parallel Morsel 与 Execution Vector 分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_parallel_granular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  <w:color w:val="2A6F76"/>
          <w:sz w:val="18"/>
        </w:rPr>
        <w:t>图 10  Storage Segment、Parallel Morsel 与 Execution Vector 分责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Storage Segment、Parallel Morsel 和 Execution Vector 分别服务 storage/growth/GC、 scheduling/cancel/merge 和 cache/JIT inner loop。一个 Segment 可以拆成多个 morsel，多个小 Segment 可以合并；所有 work进入同一个 bounded scheduler，避免 nested executor 和 shared hot atomic stats。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Formula-bound strategy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Layout、locator backing、Candidate shape、relation strategy 和 direct/parallel choice 都由 versioned deterministic formula选择。Formula 消费 workload shape、 cardinality、touched width、fan-out/skew、reuse、scratch/output 和 hardware-independent proxy；选择原因进入 Effective Metadata 或 Explain。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Threshold 是当前 evidence 的工程参数，不是 public contract。策略不适用时必须 回到语义等价的 deterministic fallback。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Evidence 方法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有效性能 evidence 同时记录 JDK、OS、architecture、commit、命令、warmup、 measurement、fork、dataset、stats mode、throughput/latency、allocation、GC、 retained/high-water、logical counters 和 output checksum。Correctness guard、 reference differential 和 failure contract不能被 benchmark 替代。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V1 Evidence 与声明边界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当前 evidence portfolio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截至内容核对基线 </w:t>
      </w:r>
      <w:r>
        <w:rPr>
          <w:rFonts w:ascii="Menlo" w:hAnsi="Menlo" w:eastAsia="PingFang SC" w:cs="Menlo"/>
          <w:color w:val="16324F"/>
          <w:sz w:val="19"/>
          <w:shd w:fill="EEF2F4"/>
        </w:rPr>
        <w:t>8c2b879934d92a74d89e6f0fb7f1e562f0ab10a9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，正式性能摘要把 证据分为 component、reference application 与 runtime-scale 三层。记录环境是 Amazon Corretto </w:t>
      </w:r>
      <w:r>
        <w:rPr>
          <w:rFonts w:ascii="Menlo" w:hAnsi="Menlo" w:eastAsia="PingFang SC" w:cs="Menlo"/>
          <w:color w:val="16324F"/>
          <w:sz w:val="19"/>
          <w:shd w:fill="EEF2F4"/>
        </w:rPr>
        <w:t>1.8.0_502-b07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、Maven </w:t>
      </w:r>
      <w:r>
        <w:rPr>
          <w:rFonts w:ascii="Menlo" w:hAnsi="Menlo" w:eastAsia="PingFang SC" w:cs="Menlo"/>
          <w:color w:val="16324F"/>
          <w:sz w:val="19"/>
          <w:shd w:fill="EEF2F4"/>
        </w:rPr>
        <w:t>3.9.16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、macOS </w:t>
      </w:r>
      <w:r>
        <w:rPr>
          <w:rFonts w:ascii="Menlo" w:hAnsi="Menlo" w:eastAsia="PingFang SC" w:cs="Menlo"/>
          <w:color w:val="16324F"/>
          <w:sz w:val="19"/>
          <w:shd w:fill="EEF2F4"/>
        </w:rPr>
        <w:t>26.5.2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/ Darwin </w:t>
      </w:r>
      <w:r>
        <w:rPr>
          <w:rFonts w:ascii="Menlo" w:hAnsi="Menlo" w:eastAsia="PingFang SC" w:cs="Menlo"/>
          <w:color w:val="16324F"/>
          <w:sz w:val="19"/>
          <w:shd w:fill="EEF2F4"/>
        </w:rPr>
        <w:t>25.5.0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、Apple M5 Pro、aarch64、48 GiB；专题运行受 16 核、32 GiB 总资源约束，required runtime-scale lane 的最大堆为 </w:t>
      </w:r>
      <w:r>
        <w:rPr>
          <w:rFonts w:ascii="Menlo" w:hAnsi="Menlo" w:eastAsia="PingFang SC" w:cs="Menlo"/>
          <w:color w:val="16324F"/>
          <w:sz w:val="19"/>
          <w:shd w:fill="EEF2F4"/>
        </w:rPr>
        <w:t>-Xmx6g</w:t>
      </w:r>
      <w:r>
        <w:rPr>
          <w:rFonts w:ascii="Arial Unicode MS" w:hAnsi="Arial Unicode MS" w:eastAsia="Arial Unicode MS" w:cs="Arial Unicode MS"/>
          <w:b w:val="0"/>
          <w:color w:val="243746"/>
        </w:rPr>
        <w:t>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当前 checked-in component baseline 是 Access v1、DataFlow v5；九个 application profile 在 clean commit </w:t>
      </w:r>
      <w:r>
        <w:rPr>
          <w:rFonts w:ascii="Menlo" w:hAnsi="Menlo" w:eastAsia="PingFang SC" w:cs="Menlo"/>
          <w:color w:val="16324F"/>
          <w:sz w:val="19"/>
          <w:shd w:fill="EEF2F4"/>
        </w:rPr>
        <w:t>eac9b60fdbbbc1c71713e09be2d7c9f74a84ce29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上各以 3 forks 重放并通过。三个 scale profile 的中位数如下：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3274"/>
        <w:gridCol w:w="2468"/>
        <w:gridCol w:w="1687"/>
        <w:gridCol w:w="1931"/>
      </w:tblGrid>
      <w:tr>
        <w:trPr>
          <w:tblHeader w:val="true"/>
          <w:cantSplit w:val="true"/>
        </w:trPr>
        <w:tc>
          <w:tcPr>
            <w:tcW w:type="dxa" w:w="32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Profile</w:t>
            </w:r>
          </w:p>
        </w:tc>
        <w:tc>
          <w:tcPr>
            <w:tcW w:type="dxa" w:w="24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时间中位数</w:t>
            </w:r>
          </w:p>
        </w:tc>
        <w:tc>
          <w:tcPr>
            <w:tcW w:type="dxa" w:w="16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Allocation 中位数</w:t>
            </w:r>
          </w:p>
        </w:tc>
        <w:tc>
          <w:tcPr>
            <w:tcW w:type="dxa" w:w="19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GC 边界</w:t>
            </w:r>
          </w:p>
        </w:tc>
      </w:tr>
      <w:tr>
        <w:trPr>
          <w:cantSplit w:val="true"/>
        </w:trPr>
        <w:tc>
          <w:tcPr>
            <w:tcW w:type="dxa" w:w="32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Industrial large / 100K operations</w:t>
            </w:r>
          </w:p>
        </w:tc>
        <w:tc>
          <w:tcPr>
            <w:tcW w:type="dxa" w:w="24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2.061 s；20,611 ns/op</w:t>
            </w:r>
          </w:p>
        </w:tc>
        <w:tc>
          <w:tcPr>
            <w:tcW w:type="dxa" w:w="16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118,949,080 B</w:t>
            </w:r>
          </w:p>
        </w:tc>
        <w:tc>
          <w:tcPr>
            <w:tcW w:type="dxa" w:w="19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Young 最多 2；Full 0</w:t>
            </w:r>
          </w:p>
        </w:tc>
      </w:tr>
      <w:tr>
        <w:trPr>
          <w:cantSplit w:val="true"/>
        </w:trPr>
        <w:tc>
          <w:tcPr>
            <w:tcW w:type="dxa" w:w="32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Grassing large / 100K × 1,000 ticks</w:t>
            </w:r>
          </w:p>
        </w:tc>
        <w:tc>
          <w:tcPr>
            <w:tcW w:type="dxa" w:w="24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5.901 s；5,900,939 ns/tick</w:t>
            </w:r>
          </w:p>
        </w:tc>
        <w:tc>
          <w:tcPr>
            <w:tcW w:type="dxa" w:w="16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61,147,760 B</w:t>
            </w:r>
          </w:p>
        </w:tc>
        <w:tc>
          <w:tcPr>
            <w:tcW w:type="dxa" w:w="19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Young 最多 1；Full 0</w:t>
            </w:r>
          </w:p>
        </w:tc>
      </w:tr>
      <w:tr>
        <w:trPr>
          <w:cantSplit w:val="true"/>
        </w:trPr>
        <w:tc>
          <w:tcPr>
            <w:tcW w:type="dxa" w:w="32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RTD large / 15K work</w:t>
            </w:r>
          </w:p>
        </w:tc>
        <w:tc>
          <w:tcPr>
            <w:tcW w:type="dxa" w:w="24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0.795 s；52,992 ns/work</w:t>
            </w:r>
          </w:p>
        </w:tc>
        <w:tc>
          <w:tcPr>
            <w:tcW w:type="dxa" w:w="16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80,374,456 B</w:t>
            </w:r>
          </w:p>
        </w:tc>
        <w:tc>
          <w:tcPr>
            <w:tcW w:type="dxa" w:w="19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Young 0；Full 0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本轮 profiling 在不改变 Schema、输入、RuntimePlan、checksum 与 failure/resource 语义的前提下，修复了两类可解释浪费：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3418"/>
        <w:gridCol w:w="1185"/>
        <w:gridCol w:w="1185"/>
        <w:gridCol w:w="3572"/>
      </w:tblGrid>
      <w:tr>
        <w:trPr>
          <w:tblHeader w:val="true"/>
          <w:cantSplit w:val="true"/>
        </w:trPr>
        <w:tc>
          <w:tcPr>
            <w:tcW w:type="dxa" w:w="34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Application diagnostic</w:t>
            </w:r>
          </w:p>
        </w:tc>
        <w:tc>
          <w:tcPr>
            <w:tcW w:type="dxa" w:w="11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优化前</w:t>
            </w:r>
          </w:p>
        </w:tc>
        <w:tc>
          <w:tcPr>
            <w:tcW w:type="dxa" w:w="11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优化后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裁决</w:t>
            </w:r>
          </w:p>
        </w:tc>
      </w:tr>
      <w:tr>
        <w:trPr>
          <w:cantSplit w:val="true"/>
        </w:trPr>
        <w:tc>
          <w:tcPr>
            <w:tcW w:type="dxa" w:w="34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Grassing 100K × 1,000 ticks allocation</w:t>
            </w:r>
          </w:p>
        </w:tc>
        <w:tc>
          <w:tcPr>
            <w:tcW w:type="dxa" w:w="11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426.45 MB</w:t>
            </w:r>
          </w:p>
        </w:tc>
        <w:tc>
          <w:tcPr>
            <w:tcW w:type="dxa" w:w="11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61.14 MB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下降约 85.7%；generated scratch sample 275→1</w:t>
            </w:r>
          </w:p>
        </w:tc>
      </w:tr>
      <w:tr>
        <w:trPr>
          <w:cantSplit w:val="true"/>
        </w:trPr>
        <w:tc>
          <w:tcPr>
            <w:tcW w:type="dxa" w:w="34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Grassing 1M × 100 ticks allocation</w:t>
            </w:r>
          </w:p>
        </w:tc>
        <w:tc>
          <w:tcPr>
            <w:tcW w:type="dxa" w:w="11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2.229 GB</w:t>
            </w:r>
          </w:p>
        </w:tc>
        <w:tc>
          <w:tcPr>
            <w:tcW w:type="dxa" w:w="11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308.18 MB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下降约 86.2%；Young GC 3→0，Full 0</w:t>
            </w:r>
          </w:p>
        </w:tc>
      </w:tr>
      <w:tr>
        <w:trPr>
          <w:cantSplit w:val="true"/>
        </w:trPr>
        <w:tc>
          <w:tcPr>
            <w:tcW w:type="dxa" w:w="34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Industrial 100K operations solve</w:t>
            </w:r>
          </w:p>
        </w:tc>
        <w:tc>
          <w:tcPr>
            <w:tcW w:type="dxa" w:w="11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2.329 s</w:t>
            </w:r>
          </w:p>
        </w:tc>
        <w:tc>
          <w:tcPr>
            <w:tcW w:type="dxa" w:w="11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2.122 s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下降约 8.9%；refresh CPU sample 22.56%→9.63%</w:t>
            </w:r>
          </w:p>
        </w:tc>
      </w:tr>
      <w:tr>
        <w:trPr>
          <w:cantSplit w:val="true"/>
        </w:trPr>
        <w:tc>
          <w:tcPr>
            <w:tcW w:type="dxa" w:w="341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Industrial 1M / fixed 100 machines solve</w:t>
            </w:r>
          </w:p>
        </w:tc>
        <w:tc>
          <w:tcPr>
            <w:tcW w:type="dxa" w:w="11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196.020 s</w:t>
            </w:r>
          </w:p>
        </w:tc>
        <w:tc>
          <w:tcPr>
            <w:tcW w:type="dxa" w:w="11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135.892 s</w:t>
            </w:r>
          </w:p>
        </w:tc>
        <w:tc>
          <w:tcPr>
            <w:tcW w:type="dxa" w:w="35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下降约 30.7%；checksum 不变，Full 0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Required runtime-scale 仍由 Small/Fast、Medium、单 1M、双 1M、String、 Expansion、Delivery 与 Soak 八条 lane 组成。由于 processor generated source 已经变化，上一 candidate 的 8/8 retained qualification 只能作为回归参照； 最终 clean SHA 必须重新生成同 SHA manifest、逐 lane record 与 combined artifact， 且每条都满足 </w:t>
      </w:r>
      <w:r>
        <w:rPr>
          <w:rFonts w:ascii="Menlo" w:hAnsi="Menlo" w:eastAsia="PingFang SC" w:cs="Menlo"/>
          <w:color w:val="16324F"/>
          <w:sz w:val="19"/>
          <w:shd w:fill="EEF2F4"/>
        </w:rPr>
        <w:t>status=passed</w:t>
      </w:r>
      <w:r>
        <w:rPr>
          <w:rFonts w:ascii="Arial Unicode MS" w:hAnsi="Arial Unicode MS" w:eastAsia="Arial Unicode MS" w:cs="Arial Unicode MS"/>
          <w:b w:val="0"/>
          <w:color w:val="243746"/>
        </w:rPr>
        <w:t>、</w:t>
      </w:r>
      <w:r>
        <w:rPr>
          <w:rFonts w:ascii="Menlo" w:hAnsi="Menlo" w:eastAsia="PingFang SC" w:cs="Menlo"/>
          <w:color w:val="16324F"/>
          <w:sz w:val="19"/>
          <w:shd w:fill="EEF2F4"/>
        </w:rPr>
        <w:t>required=true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、 </w:t>
      </w:r>
      <w:r>
        <w:rPr>
          <w:rFonts w:ascii="Menlo" w:hAnsi="Menlo" w:eastAsia="PingFang SC" w:cs="Menlo"/>
          <w:color w:val="16324F"/>
          <w:sz w:val="19"/>
          <w:shd w:fill="EEF2F4"/>
        </w:rPr>
        <w:t>profile=production-exact-v1</w:t>
      </w:r>
      <w:r>
        <w:rPr>
          <w:rFonts w:ascii="Arial Unicode MS" w:hAnsi="Arial Unicode MS" w:eastAsia="Arial Unicode MS" w:cs="Arial Unicode MS"/>
          <w:b w:val="0"/>
          <w:color w:val="243746"/>
        </w:rPr>
        <w:t>、</w:t>
      </w:r>
      <w:r>
        <w:rPr>
          <w:rFonts w:ascii="Menlo" w:hAnsi="Menlo" w:eastAsia="PingFang SC" w:cs="Menlo"/>
          <w:color w:val="16324F"/>
          <w:sz w:val="19"/>
          <w:shd w:fill="EEF2F4"/>
        </w:rPr>
        <w:t>claimAllowed=false</w:t>
      </w:r>
      <w:r>
        <w:rPr>
          <w:rFonts w:ascii="Arial Unicode MS" w:hAnsi="Arial Unicode MS" w:eastAsia="Arial Unicode MS" w:cs="Arial Unicode MS"/>
          <w:b w:val="0"/>
          <w:color w:val="243746"/>
        </w:rPr>
        <w:t>，G5 才成立。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70" w:type="dxa"/>
              <w:bottom w:w="120" w:type="dxa"/>
              <w:end w:w="150" w:type="dxa"/>
            </w:tcMar>
            <w:shd w:fill="FBEED7"/>
          </w:tcPr>
          <w:p>
            <w:pPr>
              <w:pStyle w:val="CalloutSOMA"/>
              <w:spacing w:after="80"/>
              <w:keepNext/>
              <w:keepLines/>
              <w:pBdr>
                <w:left w:val="single" w:sz="28" w:space="6" w:color="9A5B13"/>
              </w:pBdr>
              <w:widowControl w:val="true"/>
            </w:pPr>
            <w:r>
              <w:rPr>
                <w:rFonts w:ascii="Arial Unicode MS" w:hAnsi="Arial Unicode MS" w:eastAsia="Arial Unicode MS" w:cs="Arial Unicode MS"/>
                <w:b/>
                <w:color w:val="9A5B13"/>
                <w:sz w:val="20"/>
              </w:rPr>
              <w:t>注意  性能声明边界</w:t>
            </w:r>
          </w:p>
          <w:p>
            <w:pPr>
              <w:pStyle w:val="CalloutSOMA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9"/>
              </w:rPr>
              <w:t>上述数字是固定机器、固定 JDK、固定 Schema/workload 的 regression 与 diagnostic evidence，不是 public SLA、跨环境支持矩阵、任意 wide Schema 或任意 String profile 的承诺。最终 candidate 的 passed/blocked 只由其同一 immutable SHA 的 retained bundle 解析，不能凭 source report 或上一 candidate 外推。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Component 与 reference applications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Component evidence覆盖 direct/Candidate、fixed tax、parallel crossover、Effect、 delivery、allocation 与 stats。三个独立 reference consumer提供不同业务形状：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工业动态调度：direct Access、Candidate Scan、frontier/event loop；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个体生态仿真：packed iterative state、exact group、staged mutation、 deterministic lifecycle；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实时派工规则：reusable multi-source DataFlow、Join/GroupBy、bounded parallel、 detached command 与 application-owned commit。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它们各自拥有应用级 Blueprint、Design、correctness 和 performance evidence， 彼此不共享领域模型，也不反向定义 SOMA 核心产品。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Support matrix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唯一 compiler/validation authority 是 Amazon Corretto 8.502.07.1 full JDK 8。 macOS/aarch64拥有记录环境中的 build/contract 与 performance qualification； Ubuntu 24.04/x86_64仅在同一 candidate private CI/manual Full 通过时形成 build/contract claim。Windows、其他 JDK vendor、其他 Corretto update、JDK 9+、 ECJ、IDE compiler 和非 Maven build均为 unsupported/untested，除非未来进入正式 矩阵。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Release boundary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当前选择的渠道是 private GitHub source repository </w:t>
      </w:r>
      <w:r>
        <w:rPr>
          <w:rFonts w:ascii="Menlo" w:hAnsi="Menlo" w:eastAsia="PingFang SC" w:cs="Menlo"/>
          <w:color w:val="16324F"/>
          <w:sz w:val="19"/>
          <w:shd w:fill="EEF2F4"/>
        </w:rPr>
        <w:t>somaruntime/soma-java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。 </w:t>
      </w:r>
      <w:r>
        <w:rPr>
          <w:rFonts w:ascii="Menlo" w:hAnsi="Menlo" w:eastAsia="PingFang SC" w:cs="Menlo"/>
          <w:color w:val="16324F"/>
          <w:sz w:val="19"/>
          <w:shd w:fill="EEF2F4"/>
        </w:rPr>
        <w:t>1.0.0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是产品与 artifact identity；planned tag </w:t>
      </w:r>
      <w:r>
        <w:rPr>
          <w:rFonts w:ascii="Menlo" w:hAnsi="Menlo" w:eastAsia="PingFang SC" w:cs="Menlo"/>
          <w:color w:val="16324F"/>
          <w:sz w:val="19"/>
          <w:shd w:fill="EEF2F4"/>
        </w:rPr>
        <w:t>v1.0.0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尚未创建。Tag、 GitHub Release、visibility、signing、Maven publishing 和公开发布均是独立授权 边界。Private-source readiness不构成 production SLA 或 public availability。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 xml:space="preserve">10M/100M 继续作为 </w:t>
      </w:r>
      <w:r>
        <w:rPr>
          <w:rFonts w:ascii="Menlo" w:hAnsi="Menlo" w:eastAsia="PingFang SC" w:cs="Menlo"/>
          <w:color w:val="16324F"/>
          <w:sz w:val="19"/>
          <w:shd w:fill="EEF2F4"/>
        </w:rPr>
        <w:t>required=false</w:t>
      </w:r>
      <w:r>
        <w:rPr>
          <w:rFonts w:ascii="Arial Unicode MS" w:hAnsi="Arial Unicode MS" w:eastAsia="Arial Unicode MS" w:cs="Arial Unicode MS"/>
          <w:b w:val="0"/>
          <w:color w:val="243746"/>
        </w:rPr>
        <w:t xml:space="preserve"> research/stress profile，用于观察扩展曲线和 资源边界；其成功或缺失都不改变 V1 qualification Gate，也不形成任意规模承诺。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适用边界与选型建议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适合 SOMA 的信号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以下条件同时出现时，SOMA 的价值最明显：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数据形态稳定、字段访问可描述；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live state 需要在一个 Java 8 进程内反复读取和更新；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point、exact group、column scan、candidate shrink 或 typed relation 是主要访问；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业务允许显式 ownership、budget、lifecycle 和 boundary materialization；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可以通过 detached input 或 authoritative source重建内存状态；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可以为正确性建立 reference oracle，为性能记录 workload profile。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应谨慎或不适用的信号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需要持久化、跨节点、跨语言、SQL、事务、CDC 或自动恢复；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需要并发 mutation 的 shared Table；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数据结构高度动态，无法在编译期形成稳定 Schema；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需要普通 Iterator、async stream、无限 Window 或 partial detached output；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主要工作是单次低频对象处理，packed state plane不会摊薄固定成本；</w:t>
      </w:r>
    </w:p>
    <w:p>
      <w:pPr>
        <w:pStyle w:val="ListBullet"/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必须在未验证 JDK/OS/architecture 上获得正式支持。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Application 继续拥有的责任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不决定 domain invariant、业务排序、event loop、external side effect、跨 root 一致性、persistence、authorization、tenant isolation、敏感数据策略或整个 JVM 预算。一个合格的采用方案必须明确这些 responsibility owner，而不是把它们隐式 推给 runtime。</w:t>
      </w:r>
    </w:p>
    <w:p>
      <w:pPr>
        <w:pStyle w:val="Heading2"/>
        <w:keepNext/>
        <w:keepLines/>
        <w:widowControl w:val="true"/>
      </w:pPr>
      <w:r>
        <w:rPr>
          <w:rFonts w:ascii="Arial Unicode MS" w:hAnsi="Arial Unicode MS" w:eastAsia="Arial Unicode MS" w:cs="Arial Unicode MS"/>
          <w:b/>
          <w:color w:val="2A6F76"/>
          <w:sz w:val="26"/>
        </w:rPr>
        <w:t>采用前的五个问题</w:t>
      </w:r>
    </w:p>
    <w:p>
      <w:pPr>
        <w:pStyle w:val="ListNumber"/>
        <w:keepNext w:val="0"/>
        <w:keepLines w:val="0"/>
        <w:numPr>
          <w:ilvl w:val="0"/>
          <w:numId w:val="1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哪些事实进入 SOMA，谁是唯一 authoritative owner？</w:t>
      </w:r>
    </w:p>
    <w:p>
      <w:pPr>
        <w:pStyle w:val="ListNumber"/>
        <w:keepNext w:val="0"/>
        <w:keepLines w:val="0"/>
        <w:numPr>
          <w:ilvl w:val="0"/>
          <w:numId w:val="1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每张 Table 的 identity、ownership 和主要 Access Pattern 是什么？</w:t>
      </w:r>
    </w:p>
    <w:p>
      <w:pPr>
        <w:pStyle w:val="ListNumber"/>
        <w:keepNext w:val="0"/>
        <w:keepLines w:val="0"/>
        <w:numPr>
          <w:ilvl w:val="0"/>
          <w:numId w:val="1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planning/hard maximum、String profile、relation output 和 JVM headroom 是否可量化？</w:t>
      </w:r>
    </w:p>
    <w:p>
      <w:pPr>
        <w:pStyle w:val="ListNumber"/>
        <w:keepNext w:val="0"/>
        <w:keepLines w:val="0"/>
        <w:numPr>
          <w:ilvl w:val="0"/>
          <w:numId w:val="1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failure 后从哪里重建，哪些外部 side effect 需要 application 补偿？</w:t>
      </w:r>
    </w:p>
    <w:p>
      <w:pPr>
        <w:pStyle w:val="ListNumber"/>
        <w:keepNext w:val="0"/>
        <w:keepLines w:val="0"/>
        <w:numPr>
          <w:ilvl w:val="0"/>
          <w:numId w:val="11"/>
        </w:numPr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  <w:sz w:val="21"/>
        </w:rPr>
        <w:t>哪个独立 consumer journey 和 reference oracle 能证明结果、顺序、lifecycle 与资源边界？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结语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SOMA Java V1 的价值不在于提供另一个通用集合 API，而在于把一类长期存在但常被 分散处理的问题收敛成一个产品模型：Schema 在编译期成为稳定契约，live facts 在 packed columnar state plane中拥有唯一 Owner，Access 与 Transformation 按自然 能力分工，Plan、resource、failure 和 observation在运行前后拥有明确边界。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这种设计让高性能不再只依赖“某段循环很快”，而来自可追踪的 lowering： logical semantics 经 generated capability进入 typed carrier和 bounded physical strategy；任何内部替换都必须保持 identity、order、ownership、failure 和 evidence。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V1 的承诺是克制的：Java 8、heap-resident、typed、finite、in-process。也正因为 边界明确，它可以对所选择的场景提供更强的类型安全、局部性、确定性、资源可见性 和 consumer 可验证性。</w:t>
      </w: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附录：核心术语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2134"/>
        <w:gridCol w:w="3858"/>
        <w:gridCol w:w="3368"/>
      </w:tblGrid>
      <w:tr>
        <w:trPr>
          <w:tblHeader w:val="true"/>
          <w:cantSplit w:val="true"/>
        </w:trPr>
        <w:tc>
          <w:tcPr>
            <w:tcW w:type="dxa" w:w="2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38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不等同于</w:t>
            </w:r>
          </w:p>
        </w:tc>
      </w:tr>
      <w:tr>
        <w:trPr>
          <w:cantSplit w:val="true"/>
        </w:trPr>
        <w:tc>
          <w:tcPr>
            <w:tcW w:type="dxa" w:w="2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Schema carrier</w:t>
            </w:r>
          </w:p>
        </w:tc>
        <w:tc>
          <w:tcPr>
            <w:tcW w:type="dxa" w:w="38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@SomaTable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 定义的 row schema 与 detached shape</w:t>
            </w:r>
          </w:p>
        </w:tc>
        <w:tc>
          <w:tcPr>
            <w:tcW w:type="dxa" w:w="3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live row / DTO cache</w:t>
            </w:r>
          </w:p>
        </w:tc>
      </w:tr>
      <w:tr>
        <w:trPr>
          <w:cantSplit w:val="true"/>
        </w:trPr>
        <w:tc>
          <w:tcPr>
            <w:tcW w:type="dxa" w:w="2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Keyed Table</w:t>
            </w:r>
          </w:p>
        </w:tc>
        <w:tc>
          <w:tcPr>
            <w:tcW w:type="dxa" w:w="38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有 stable logical key 的 Table</w:t>
            </w:r>
          </w:p>
        </w:tc>
        <w:tc>
          <w:tcPr>
            <w:tcW w:type="dxa" w:w="3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Java </w:t>
            </w: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Map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 storage</w:t>
            </w:r>
          </w:p>
        </w:tc>
      </w:tr>
      <w:tr>
        <w:trPr>
          <w:cantSplit w:val="true"/>
        </w:trPr>
        <w:tc>
          <w:tcPr>
            <w:tcW w:type="dxa" w:w="2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Dense Table</w:t>
            </w:r>
          </w:p>
        </w:tc>
        <w:tc>
          <w:tcPr>
            <w:tcW w:type="dxa" w:w="38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无 stable row identity 的 packed Table</w:t>
            </w:r>
          </w:p>
        </w:tc>
        <w:tc>
          <w:tcPr>
            <w:tcW w:type="dxa" w:w="3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Java </w:t>
            </w: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List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 storage</w:t>
            </w:r>
          </w:p>
        </w:tc>
      </w:tr>
      <w:tr>
        <w:trPr>
          <w:cantSplit w:val="true"/>
        </w:trPr>
        <w:tc>
          <w:tcPr>
            <w:tcW w:type="dxa" w:w="2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Current Index</w:t>
            </w:r>
          </w:p>
        </w:tc>
        <w:tc>
          <w:tcPr>
            <w:tcW w:type="dxa" w:w="38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当前 </w:t>
            </w:r>
            <w:r>
              <w:rPr>
                <w:rFonts w:ascii="Menlo" w:hAnsi="Menlo" w:eastAsia="PingFang SC" w:cs="Menlo"/>
                <w:color w:val="16324F"/>
                <w:sz w:val="16"/>
                <w:shd w:fill="EEF2F4"/>
              </w:rPr>
              <w:t>[0,size)</w:t>
            </w: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 xml:space="preserve"> 物理位置</w:t>
            </w:r>
          </w:p>
        </w:tc>
        <w:tc>
          <w:tcPr>
            <w:tcW w:type="dxa" w:w="3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stable business identity</w:t>
            </w:r>
          </w:p>
        </w:tc>
      </w:tr>
      <w:tr>
        <w:trPr>
          <w:cantSplit w:val="true"/>
        </w:trPr>
        <w:tc>
          <w:tcPr>
            <w:tcW w:type="dxa" w:w="2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Candidate Scan</w:t>
            </w:r>
          </w:p>
        </w:tc>
        <w:tc>
          <w:tcPr>
            <w:tcW w:type="dxa" w:w="38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source-stage-terminal 的 typed one-shot access</w:t>
            </w:r>
          </w:p>
        </w:tc>
        <w:tc>
          <w:tcPr>
            <w:tcW w:type="dxa" w:w="3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Java Stream / query engine</w:t>
            </w:r>
          </w:p>
        </w:tc>
      </w:tr>
      <w:tr>
        <w:trPr>
          <w:cantSplit w:val="true"/>
        </w:trPr>
        <w:tc>
          <w:tcPr>
            <w:tcW w:type="dxa" w:w="2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Materialized Object</w:t>
            </w:r>
          </w:p>
        </w:tc>
        <w:tc>
          <w:tcPr>
            <w:tcW w:type="dxa" w:w="38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与 live storage 脱离的 schema object graph</w:t>
            </w:r>
          </w:p>
        </w:tc>
        <w:tc>
          <w:tcPr>
            <w:tcW w:type="dxa" w:w="3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live View / snapshot isolation</w:t>
            </w:r>
          </w:p>
        </w:tc>
      </w:tr>
      <w:tr>
        <w:trPr>
          <w:cantSplit w:val="true"/>
        </w:trPr>
        <w:tc>
          <w:tcPr>
            <w:tcW w:type="dxa" w:w="2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SomaGroup</w:t>
            </w:r>
          </w:p>
        </w:tc>
        <w:tc>
          <w:tcPr>
            <w:tcW w:type="dxa" w:w="38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root composition、resource 与 release boundary</w:t>
            </w:r>
          </w:p>
        </w:tc>
        <w:tc>
          <w:tcPr>
            <w:tcW w:type="dxa" w:w="3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transaction / DataFlow GroupBy</w:t>
            </w:r>
          </w:p>
        </w:tc>
      </w:tr>
      <w:tr>
        <w:trPr>
          <w:cantSplit w:val="true"/>
        </w:trPr>
        <w:tc>
          <w:tcPr>
            <w:tcW w:type="dxa" w:w="2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Definition</w:t>
            </w:r>
          </w:p>
        </w:tc>
        <w:tc>
          <w:tcPr>
            <w:tcW w:type="dxa" w:w="38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immutable logical computation</w:t>
            </w:r>
          </w:p>
        </w:tc>
        <w:tc>
          <w:tcPr>
            <w:tcW w:type="dxa" w:w="3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current Table 或 mutable plan</w:t>
            </w:r>
          </w:p>
        </w:tc>
      </w:tr>
      <w:tr>
        <w:trPr>
          <w:cantSplit w:val="true"/>
        </w:trPr>
        <w:tc>
          <w:tcPr>
            <w:tcW w:type="dxa" w:w="2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Template</w:t>
            </w:r>
          </w:p>
        </w:tc>
        <w:tc>
          <w:tcPr>
            <w:tcW w:type="dxa" w:w="38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analyzed reusable projection</w:t>
            </w:r>
          </w:p>
        </w:tc>
        <w:tc>
          <w:tcPr>
            <w:tcW w:type="dxa" w:w="3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bound source 或 executor</w:t>
            </w:r>
          </w:p>
        </w:tc>
      </w:tr>
      <w:tr>
        <w:trPr>
          <w:cantSplit w:val="true"/>
        </w:trPr>
        <w:tc>
          <w:tcPr>
            <w:tcW w:type="dxa" w:w="2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Invocation</w:t>
            </w:r>
          </w:p>
        </w:tc>
        <w:tc>
          <w:tcPr>
            <w:tcW w:type="dxa" w:w="38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bound one-shot execution</w:t>
            </w:r>
          </w:p>
        </w:tc>
        <w:tc>
          <w:tcPr>
            <w:tcW w:type="dxa" w:w="3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reusable session</w:t>
            </w:r>
          </w:p>
        </w:tc>
      </w:tr>
      <w:tr>
        <w:trPr>
          <w:cantSplit w:val="true"/>
        </w:trPr>
        <w:tc>
          <w:tcPr>
            <w:tcW w:type="dxa" w:w="2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Effective Metadata</w:t>
            </w:r>
          </w:p>
        </w:tc>
        <w:tc>
          <w:tcPr>
            <w:tcW w:type="dxa" w:w="38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validated physical/resource identity</w:t>
            </w:r>
          </w:p>
        </w:tc>
        <w:tc>
          <w:tcPr>
            <w:tcW w:type="dxa" w:w="3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current counters</w:t>
            </w:r>
          </w:p>
        </w:tc>
      </w:tr>
      <w:tr>
        <w:trPr>
          <w:cantSplit w:val="true"/>
        </w:trPr>
        <w:tc>
          <w:tcPr>
            <w:tcW w:type="dxa" w:w="2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Observation / Explain</w:t>
            </w:r>
          </w:p>
        </w:tc>
        <w:tc>
          <w:tcPr>
            <w:tcW w:type="dxa" w:w="38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detached outcome 与物理选择原因</w:t>
            </w:r>
          </w:p>
        </w:tc>
        <w:tc>
          <w:tcPr>
            <w:tcW w:type="dxa" w:w="3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business fact / hidden planner state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附录：Capability 与 Owner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C8D5DD"/>
          <w:left w:val="single" w:sz="6" w:space="0" w:color="C8D5DD"/>
          <w:bottom w:val="single" w:sz="6" w:space="0" w:color="C8D5DD"/>
          <w:right w:val="single" w:sz="6" w:space="0" w:color="C8D5DD"/>
          <w:insideH w:val="single" w:sz="6" w:space="0" w:color="C8D5DD"/>
          <w:insideV w:val="single" w:sz="6" w:space="0" w:color="C8D5DD"/>
        </w:tblBorders>
      </w:tblPr>
      <w:tblGrid>
        <w:gridCol w:w="3720"/>
        <w:gridCol w:w="5640"/>
      </w:tblGrid>
      <w:tr>
        <w:trPr>
          <w:tblHeader w:val="true"/>
          <w:cantSplit w:val="true"/>
        </w:trPr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6324F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主要长期责任</w:t>
            </w:r>
          </w:p>
        </w:tc>
      </w:tr>
      <w:tr>
        <w:trPr>
          <w:cantSplit w:val="true"/>
        </w:trPr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Schema / Generated API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annotation semantics、normalization、typed facade</w:t>
            </w:r>
          </w:p>
        </w:tc>
      </w:tr>
      <w:tr>
        <w:trPr>
          <w:cantSplit w:val="true"/>
        </w:trPr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Storage / Exact Access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packed columns、locator/index、relocation</w:t>
            </w:r>
          </w:p>
        </w:tc>
      </w:tr>
      <w:tr>
        <w:trPr>
          <w:cantSplit w:val="true"/>
        </w:trPr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Access Model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Point/Candidate/Column/Key/Bulk/Ownership</w:t>
            </w:r>
          </w:p>
        </w:tc>
      </w:tr>
      <w:tr>
        <w:trPr>
          <w:cantSplit w:val="true"/>
        </w:trPr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Transformation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Shape、operator、result、effect</w:t>
            </w:r>
          </w:p>
        </w:tc>
      </w:tr>
      <w:tr>
        <w:trPr>
          <w:cantSplit w:val="true"/>
        </w:trPr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DataFlow Execution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Definition/Template/Invocation、binding、parallel</w:t>
            </w:r>
          </w:p>
        </w:tc>
      </w:tr>
      <w:tr>
        <w:trPr>
          <w:cantSplit w:val="true"/>
        </w:trPr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Ownership / Lifecycle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Group、root/child、epoch、view、release</w:t>
            </w:r>
          </w:p>
        </w:tc>
      </w:tr>
      <w:tr>
        <w:trPr>
          <w:cantSplit w:val="true"/>
        </w:trPr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Result Delivery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Eager/callback、materialization、budget</w:t>
            </w:r>
          </w:p>
        </w:tc>
      </w:tr>
      <w:tr>
        <w:trPr>
          <w:cantSplit w:val="true"/>
        </w:trPr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Runtime Plan / Observation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Metadata phases、ledger、stats、explain</w:t>
            </w:r>
          </w:p>
        </w:tc>
      </w:tr>
      <w:tr>
        <w:trPr>
          <w:cantSplit w:val="true"/>
        </w:trPr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Correctness / Failure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atomicity、structured error、faulted trust state</w:t>
            </w:r>
          </w:p>
        </w:tc>
      </w:tr>
      <w:tr>
        <w:trPr>
          <w:cantSplit w:val="true"/>
        </w:trPr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Performance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A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mechanical shape、cost model、evidence duty</w:t>
            </w:r>
          </w:p>
        </w:tc>
      </w:tr>
      <w:tr>
        <w:trPr>
          <w:cantSplit w:val="true"/>
        </w:trPr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Compatibility / Security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3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243746"/>
                <w:sz w:val="17"/>
              </w:rPr>
              <w:t>surface identity、trust boundary、release identity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6" w:color="B68D40"/>
        </w:pBdr>
        <w:widowControl w:val="true"/>
      </w:pPr>
      <w:r>
        <w:rPr>
          <w:rFonts w:ascii="Arial Unicode MS" w:hAnsi="Arial Unicode MS" w:eastAsia="Arial Unicode MS" w:cs="Arial Unicode MS"/>
          <w:b/>
          <w:color w:val="16324F"/>
          <w:sz w:val="32"/>
        </w:rPr>
        <w:t>附录：正式事实来源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本白皮书基于以下当前正式资料形成，路径均相对于 SOMA Java source tree：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docs/blueprints/soma-java-product-blueprint.md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docs/design/README.md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docs/design/soma-java-design-constitution.md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docs/design/system-architecture.md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docs/design/schema-and-generated-api.md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docs/design/table-storage-and-access.md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docs/design/access-model-and-candidate-scan.md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docs/design/transformation-model.md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docs/design/dataflow-execution-model.md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docs/design/ownership-and-lifecycle.md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docs/design/materialization-boundary.md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docs/design/runtime-plan-and-observability.md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docs/design/correctness-and-failure.md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docs/design/performance-model.md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docs/design/compatibility-security-and-versioning.md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docs/implementation-map/executable-contract-map.md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reports/current-performance-summary.md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reports/java-v1-g6-release-readiness-report.md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reports/java-v1-support-matrix-report.md</w:t>
      </w:r>
    </w:p>
    <w:p>
      <w:pPr>
        <w:pStyle w:val="ListBullet"/>
        <w:keepNext w:val="0"/>
        <w:keepLines w:val="0"/>
        <w:widowControl w:val="true"/>
      </w:pPr>
      <w:r>
        <w:rPr>
          <w:rFonts w:ascii="Menlo" w:hAnsi="Menlo" w:eastAsia="PingFang SC" w:cs="Menlo"/>
          <w:color w:val="16324F"/>
          <w:sz w:val="20"/>
          <w:shd w:fill="EEF2F4"/>
        </w:rPr>
        <w:t>soma-examples/docs/README.md</w:t>
      </w:r>
    </w:p>
    <w:p>
      <w:pPr>
        <w:keepNext w:val="0"/>
        <w:keepLines w:val="0"/>
        <w:widowControl w:val="true"/>
      </w:pPr>
      <w:r>
        <w:rPr>
          <w:rFonts w:ascii="Arial Unicode MS" w:hAnsi="Arial Unicode MS" w:eastAsia="Arial Unicode MS" w:cs="Arial Unicode MS"/>
          <w:b w:val="0"/>
          <w:color w:val="243746"/>
        </w:rPr>
        <w:t>精确 public/generated signature、protocol token、error code、current Gate 和 qualification identity可能随正式变更演进。使用本白皮书进行实施或发布决策时， 必须固定 source ref，并以同一 ref 的 executable evidence 与 retained release bundle为准。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637381"/>
        <w:sz w:val="16"/>
      </w:rPr>
      <w:t xml:space="preserve">SOMA  ·  V1  · 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  <w:color w:val="637381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2200"/>
      <w:gridCol w:w="7160"/>
    </w:tblGrid>
    <w:tr>
      <w:tc>
        <w:tcPr>
          <w:tcW w:type="dxa" w:w="2200"/>
          <w:tcMar>
            <w:top w:w="90" w:type="dxa"/>
            <w:start w:w="110" w:type="dxa"/>
            <w:bottom w:w="90" w:type="dxa"/>
            <w:end w:w="110" w:type="dxa"/>
          </w:tcMar>
          <w:vAlign w:val="center"/>
        </w:tcPr>
        <w:p>
          <w:pPr>
            <w:jc w:val="left"/>
          </w:pPr>
          <w:r>
            <w:rPr>
              <w:rFonts w:ascii="Arial Unicode MS" w:hAnsi="Arial Unicode MS" w:eastAsia="Arial Unicode MS" w:cs="Arial Unicode MS"/>
              <w:b/>
              <w:color w:val="16324F"/>
              <w:sz w:val="18"/>
            </w:rPr>
            <w:t>SOMA</w:t>
          </w:r>
        </w:p>
      </w:tc>
      <w:tc>
        <w:tcPr>
          <w:tcW w:type="dxa" w:w="7160"/>
          <w:tcMar>
            <w:top w:w="90" w:type="dxa"/>
            <w:start w:w="110" w:type="dxa"/>
            <w:bottom w:w="90" w:type="dxa"/>
            <w:end w:w="110" w:type="dxa"/>
          </w:tcMar>
          <w:vAlign w:val="center"/>
        </w:tcPr>
        <w:p>
          <w:pPr>
            <w:jc w:val="right"/>
          </w:pPr>
          <w:r>
            <w:rPr>
              <w:rFonts w:ascii="Arial Unicode MS" w:hAnsi="Arial Unicode MS" w:eastAsia="Arial Unicode MS" w:cs="Arial Unicode MS"/>
              <w:color w:val="637381"/>
              <w:sz w:val="17"/>
            </w:rPr>
            <w:t>SOMA Java V1 技术白皮书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auto" w:after="160"/>
      <w:jc w:val="both"/>
    </w:pPr>
    <w:rPr>
      <w:rFonts w:ascii="Arial Unicode MS" w:hAnsi="Arial Unicode MS" w:eastAsia="Arial Unicode MS" w:cs="Arial Unicode MS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widowControl/>
      <w:spacing w:before="440" w:after="18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0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A6F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2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B68D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6324F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A6F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1" w:lineRule="auto"/>
      <w:ind w:left="403" w:hanging="259"/>
      <w:contextualSpacing/>
    </w:pPr>
    <w:rPr>
      <w:rFonts w:ascii="Arial Unicode MS" w:hAnsi="Arial Unicode MS" w:eastAsia="Arial Unicode MS" w:cs="Arial Unicode MS"/>
      <w:color w:val="24374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1" w:lineRule="auto"/>
      <w:ind w:left="403" w:hanging="259"/>
      <w:contextualSpacing/>
    </w:pPr>
    <w:rPr>
      <w:rFonts w:ascii="Arial Unicode MS" w:hAnsi="Arial Unicode MS" w:eastAsia="Arial Unicode MS" w:cs="Arial Unicode MS"/>
      <w:color w:val="243746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80" w:after="200"/>
      <w:jc w:val="center"/>
    </w:pPr>
    <w:rPr>
      <w:rFonts w:ascii="Arial Unicode MS" w:hAnsi="Arial Unicode MS" w:eastAsia="Arial Unicode MS" w:cs="Arial Unicode MS"/>
      <w:b w:val="0"/>
      <w:bCs/>
      <w:color w:val="2A6F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SOMA">
    <w:name w:val="Code Block SOMA"/>
    <w:pPr>
      <w:widowControl w:val="0"/>
      <w:spacing w:before="0" w:after="0" w:lineRule="exact" w:line="204"/>
      <w:ind w:left="173" w:right="173"/>
    </w:pPr>
    <w:rPr>
      <w:rFonts w:ascii="Menlo" w:hAnsi="Menlo" w:eastAsia="PingFang SC" w:cs="Menlo"/>
      <w:color w:val="27343D"/>
      <w:sz w:val="17"/>
    </w:rPr>
  </w:style>
  <w:style w:type="paragraph" w:customStyle="1" w:styleId="SmallSOMA">
    <w:name w:val="Small SOMA"/>
    <w:pPr>
      <w:spacing w:after="60"/>
    </w:pPr>
    <w:rPr>
      <w:rFonts w:ascii="Arial Unicode MS" w:hAnsi="Arial Unicode MS" w:eastAsia="Arial Unicode MS" w:cs="Arial Unicode MS"/>
      <w:color w:val="637381"/>
      <w:sz w:val="17"/>
    </w:rPr>
  </w:style>
  <w:style w:type="paragraph" w:customStyle="1" w:styleId="CalloutSOMA">
    <w:name w:val="Callout SOMA"/>
    <w:pPr>
      <w:spacing w:before="80" w:after="100" w:line="283" w:lineRule="auto"/>
      <w:ind w:left="173" w:right="115"/>
    </w:pPr>
    <w:rPr>
      <w:rFonts w:ascii="Arial Unicode MS" w:hAnsi="Arial Unicode MS" w:eastAsia="Arial Unicode MS" w:cs="Arial Unicode MS"/>
      <w:color w:val="24374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SOMA Java V1 技术白皮书</dc:title>
  <dc:subject>SOMA Java V1 产品级技术文档</dc:subject>
  <dc:creator/>
  <cp:keywords>SOMA, Java 8, Schema-Defined, Compiler-Specialized, columnar runtime state, typed DataFlow</cp:keywords>
  <dc:description>Selected private-source profile; no public Maven or production SLA claim.</dc:description>
  <cp:lastModifiedBy/>
  <cp:revision>1</cp:revision>
  <dcterms:created xsi:type="dcterms:W3CDTF">2026-07-30T00:00:00Z</dcterms:created>
  <dcterms:modified xsi:type="dcterms:W3CDTF">2026-07-30T00:00:00Z</dcterms:modified>
  <cp:category>Product Documentation</cp:category>
</cp:coreProperties>
</file>