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Customer Journey Map</w:t>
      </w:r>
    </w:p>
    <w:p>
      <w:pPr>
        <w:jc w:val="center"/>
      </w:pPr>
      <w:r>
        <w:rPr>
          <w:b/>
          <w:sz w:val="26"/>
        </w:rPr>
        <w:t>Automated Network Request Management in ServiceNow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</w:tcPr>
          <w:p>
            <w:r>
              <w:rPr>
                <w:rFonts w:ascii="Arial" w:hAnsi="Arial"/>
                <w:b/>
                <w:sz w:val="14"/>
              </w:rPr>
              <w:t>Date</w:t>
            </w:r>
          </w:p>
        </w:tc>
        <w:tc>
          <w:tcPr>
            <w:tcW w:type="dxa" w:w="7272"/>
          </w:tcPr>
          <w:p>
            <w:r>
              <w:rPr>
                <w:rFonts w:ascii="Arial" w:hAnsi="Arial"/>
                <w:sz w:val="14"/>
              </w:rPr>
              <w:t>07 September 2026</w:t>
            </w:r>
          </w:p>
        </w:tc>
      </w:tr>
      <w:tr>
        <w:tc>
          <w:tcPr>
            <w:tcW w:type="dxa" w:w="7272"/>
          </w:tcPr>
          <w:p>
            <w:r>
              <w:rPr>
                <w:rFonts w:ascii="Arial" w:hAnsi="Arial"/>
                <w:b/>
                <w:sz w:val="14"/>
              </w:rPr>
              <w:t>Team ID</w:t>
            </w:r>
          </w:p>
        </w:tc>
        <w:tc>
          <w:tcPr>
            <w:tcW w:type="dxa" w:w="7272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7272"/>
          </w:tcPr>
          <w:p>
            <w:r>
              <w:rPr>
                <w:rFonts w:ascii="Arial" w:hAnsi="Arial"/>
                <w:b/>
                <w:sz w:val="14"/>
              </w:rPr>
              <w:t>Project Name</w:t>
            </w:r>
          </w:p>
        </w:tc>
        <w:tc>
          <w:tcPr>
            <w:tcW w:type="dxa" w:w="7272"/>
          </w:tcPr>
          <w:p>
            <w:r>
              <w:rPr>
                <w:rFonts w:ascii="Arial" w:hAnsi="Arial"/>
                <w:sz w:val="14"/>
              </w:rPr>
              <w:t>Automated Network Request Management in ServiceNow</w:t>
            </w:r>
          </w:p>
        </w:tc>
      </w:tr>
      <w:tr>
        <w:tc>
          <w:tcPr>
            <w:tcW w:type="dxa" w:w="7272"/>
          </w:tcPr>
          <w:p>
            <w:r>
              <w:rPr>
                <w:rFonts w:ascii="Arial" w:hAnsi="Arial"/>
                <w:b/>
                <w:sz w:val="14"/>
              </w:rPr>
              <w:t>Scenario</w:t>
            </w:r>
          </w:p>
        </w:tc>
        <w:tc>
          <w:tcPr>
            <w:tcW w:type="dxa" w:w="7272"/>
          </w:tcPr>
          <w:p>
            <w:r>
              <w:rPr>
                <w:rFonts w:ascii="Arial" w:hAnsi="Arial"/>
                <w:sz w:val="14"/>
              </w:rPr>
              <w:t>Submitting, approving, fulfilling, and tracking a network request</w:t>
            </w:r>
          </w:p>
        </w:tc>
      </w:tr>
    </w:tbl>
    <w:p/>
    <w:p>
      <w:r>
        <w:rPr>
          <w:b/>
          <w:sz w:val="24"/>
        </w:rPr>
        <w:t>Journey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</w:tcPr>
          <w:p>
            <w:r>
              <w:rPr>
                <w:rFonts w:ascii="Arial" w:hAnsi="Arial"/>
                <w:b/>
                <w:sz w:val="14"/>
              </w:rPr>
              <w:t>Entice</w:t>
            </w:r>
          </w:p>
        </w:tc>
        <w:tc>
          <w:tcPr>
            <w:tcW w:type="dxa" w:w="2909"/>
          </w:tcPr>
          <w:p>
            <w:r>
              <w:rPr>
                <w:rFonts w:ascii="Arial" w:hAnsi="Arial"/>
                <w:b/>
                <w:sz w:val="14"/>
              </w:rPr>
              <w:t>Enter</w:t>
            </w:r>
          </w:p>
        </w:tc>
        <w:tc>
          <w:tcPr>
            <w:tcW w:type="dxa" w:w="2909"/>
          </w:tcPr>
          <w:p>
            <w:r>
              <w:rPr>
                <w:rFonts w:ascii="Arial" w:hAnsi="Arial"/>
                <w:b/>
                <w:sz w:val="14"/>
              </w:rPr>
              <w:t>Engage</w:t>
            </w:r>
          </w:p>
        </w:tc>
        <w:tc>
          <w:tcPr>
            <w:tcW w:type="dxa" w:w="2909"/>
          </w:tcPr>
          <w:p>
            <w:r>
              <w:rPr>
                <w:rFonts w:ascii="Arial" w:hAnsi="Arial"/>
                <w:b/>
                <w:sz w:val="14"/>
              </w:rPr>
              <w:t>Exit</w:t>
            </w:r>
          </w:p>
        </w:tc>
        <w:tc>
          <w:tcPr>
            <w:tcW w:type="dxa" w:w="2909"/>
          </w:tcPr>
          <w:p>
            <w:r>
              <w:rPr>
                <w:rFonts w:ascii="Arial" w:hAnsi="Arial"/>
                <w:b/>
                <w:sz w:val="14"/>
              </w:rPr>
              <w:t>Extend</w:t>
            </w:r>
          </w:p>
        </w:tc>
      </w:tr>
      <w:tr>
        <w:tc>
          <w:tcPr>
            <w:tcW w:type="dxa" w:w="2909"/>
          </w:tcPr>
          <w:p>
            <w:r>
              <w:rPr>
                <w:rFonts w:ascii="Arial" w:hAnsi="Arial"/>
                <w:sz w:val="14"/>
              </w:rPr>
              <w:t>Become aware of the</w:t>
              <w:br/>
              <w:t>network request process</w:t>
            </w:r>
          </w:p>
        </w:tc>
        <w:tc>
          <w:tcPr>
            <w:tcW w:type="dxa" w:w="2909"/>
          </w:tcPr>
          <w:p>
            <w:r>
              <w:rPr>
                <w:rFonts w:ascii="Arial" w:hAnsi="Arial"/>
                <w:sz w:val="14"/>
              </w:rPr>
              <w:t>Start and submit the</w:t>
              <w:br/>
              <w:t>request</w:t>
            </w:r>
          </w:p>
        </w:tc>
        <w:tc>
          <w:tcPr>
            <w:tcW w:type="dxa" w:w="2909"/>
          </w:tcPr>
          <w:p>
            <w:r>
              <w:rPr>
                <w:rFonts w:ascii="Arial" w:hAnsi="Arial"/>
                <w:sz w:val="14"/>
              </w:rPr>
              <w:t>Review, approve, and</w:t>
              <w:br/>
              <w:t>fulfill the request</w:t>
            </w:r>
          </w:p>
        </w:tc>
        <w:tc>
          <w:tcPr>
            <w:tcW w:type="dxa" w:w="2909"/>
          </w:tcPr>
          <w:p>
            <w:r>
              <w:rPr>
                <w:rFonts w:ascii="Arial" w:hAnsi="Arial"/>
                <w:sz w:val="14"/>
              </w:rPr>
              <w:t>Receive the outcome and</w:t>
              <w:br/>
              <w:t>completion</w:t>
            </w:r>
          </w:p>
        </w:tc>
        <w:tc>
          <w:tcPr>
            <w:tcW w:type="dxa" w:w="2909"/>
          </w:tcPr>
          <w:p>
            <w:r>
              <w:rPr>
                <w:rFonts w:ascii="Arial" w:hAnsi="Arial"/>
                <w:sz w:val="14"/>
              </w:rPr>
              <w:t>Track history and use the</w:t>
              <w:br/>
              <w:t>process again when needed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r>
              <w:rPr>
                <w:rFonts w:ascii="Arial" w:hAnsi="Arial"/>
                <w:b/>
                <w:sz w:val="14"/>
              </w:rPr>
              <w:t>Journey Element</w:t>
            </w:r>
          </w:p>
        </w:tc>
        <w:tc>
          <w:tcPr>
            <w:tcW w:type="dxa" w:w="2424"/>
          </w:tcPr>
          <w:p>
            <w:r>
              <w:rPr>
                <w:rFonts w:ascii="Arial" w:hAnsi="Arial"/>
                <w:b/>
                <w:sz w:val="14"/>
              </w:rPr>
              <w:t>Entice</w:t>
            </w:r>
          </w:p>
        </w:tc>
        <w:tc>
          <w:tcPr>
            <w:tcW w:type="dxa" w:w="2424"/>
          </w:tcPr>
          <w:p>
            <w:r>
              <w:rPr>
                <w:rFonts w:ascii="Arial" w:hAnsi="Arial"/>
                <w:b/>
                <w:sz w:val="14"/>
              </w:rPr>
              <w:t>Enter</w:t>
            </w:r>
          </w:p>
        </w:tc>
        <w:tc>
          <w:tcPr>
            <w:tcW w:type="dxa" w:w="2424"/>
          </w:tcPr>
          <w:p>
            <w:r>
              <w:rPr>
                <w:rFonts w:ascii="Arial" w:hAnsi="Arial"/>
                <w:b/>
                <w:sz w:val="14"/>
              </w:rPr>
              <w:t>Engage</w:t>
            </w:r>
          </w:p>
        </w:tc>
        <w:tc>
          <w:tcPr>
            <w:tcW w:type="dxa" w:w="2424"/>
          </w:tcPr>
          <w:p>
            <w:r>
              <w:rPr>
                <w:rFonts w:ascii="Arial" w:hAnsi="Arial"/>
                <w:b/>
                <w:sz w:val="14"/>
              </w:rPr>
              <w:t>Exit</w:t>
            </w:r>
          </w:p>
        </w:tc>
        <w:tc>
          <w:tcPr>
            <w:tcW w:type="dxa" w:w="2424"/>
          </w:tcPr>
          <w:p>
            <w:r>
              <w:rPr>
                <w:rFonts w:ascii="Arial" w:hAnsi="Arial"/>
                <w:b/>
                <w:sz w:val="14"/>
              </w:rPr>
              <w:t>Extend</w:t>
            </w:r>
          </w:p>
        </w:tc>
      </w:tr>
      <w:tr>
        <w:tc>
          <w:tcPr>
            <w:tcW w:type="dxa" w:w="2424"/>
            <w:vAlign w:val="center"/>
          </w:tcPr>
          <w:p>
            <w:r>
              <w:rPr>
                <w:rFonts w:ascii="Arial" w:hAnsi="Arial"/>
                <w:b/>
                <w:sz w:val="14"/>
              </w:rPr>
              <w:t>Steps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Learn that network access/connectivity can be requested through ServiceNow.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Open ServiceNow Service Portal, select Network Request, enter details, and submit.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Manager reviews the request; after approval, Network Team receives a fulfillment task.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Requester receives the result; approved request progresses to completion, or rejected request is closed as Rejected.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Requester can view request history/status and submit another network request when required.</w:t>
            </w:r>
          </w:p>
        </w:tc>
      </w:tr>
      <w:tr>
        <w:tc>
          <w:tcPr>
            <w:tcW w:type="dxa" w:w="2424"/>
            <w:vAlign w:val="center"/>
          </w:tcPr>
          <w:p>
            <w:r>
              <w:rPr>
                <w:rFonts w:ascii="Arial" w:hAnsi="Arial"/>
                <w:b/>
                <w:sz w:val="14"/>
              </w:rPr>
              <w:t>Interactions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Talk with manager/colleagues or see ServiceNow guidance about requesting network access.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Interact with the catalog form, select request type, provide required details, and submit the RITM.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Manager interacts with the approval request. Network Team updates work notes and completes the catalog task.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Requester checks request status and receives approval/rejection/completion notifications.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Requester uses previous request information/status history and returns to the Service Catalog for future requests.</w:t>
            </w:r>
          </w:p>
        </w:tc>
      </w:tr>
      <w:tr>
        <w:tc>
          <w:tcPr>
            <w:tcW w:type="dxa" w:w="2424"/>
            <w:vAlign w:val="center"/>
          </w:tcPr>
          <w:p>
            <w:r>
              <w:rPr>
                <w:rFonts w:ascii="Arial" w:hAnsi="Arial"/>
                <w:b/>
                <w:sz w:val="14"/>
              </w:rPr>
              <w:t>Things / Digital Touchpoints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ServiceNow Service Portal, Service Catalog, internal communication tools.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Network Request catalog item, dynamic variables, validation messages, RITM.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Approval record, Flow Designer automation, Network Request record, Catalog Task.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Service Portal request status, email notifications, request record.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Service Portal, request history, reports/dashboard for authorized users.</w:t>
            </w:r>
          </w:p>
        </w:tc>
      </w:tr>
      <w:tr>
        <w:tc>
          <w:tcPr>
            <w:tcW w:type="dxa" w:w="2424"/>
            <w:vAlign w:val="center"/>
          </w:tcPr>
          <w:p>
            <w:r>
              <w:rPr>
                <w:rFonts w:ascii="Arial" w:hAnsi="Arial"/>
                <w:b/>
                <w:sz w:val="14"/>
              </w:rPr>
              <w:t>Places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Workplace / internal ServiceNow environment.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ServiceNow Service Portal.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ServiceNow platform; manager and Network Team work queues.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ServiceNow Service Portal and email inbox.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ServiceNow Service Portal and internal work environment.</w:t>
            </w:r>
          </w:p>
        </w:tc>
      </w:tr>
      <w:tr>
        <w:tc>
          <w:tcPr>
            <w:tcW w:type="dxa" w:w="2424"/>
            <w:vAlign w:val="center"/>
          </w:tcPr>
          <w:p>
            <w:r>
              <w:rPr>
                <w:rFonts w:ascii="Arial" w:hAnsi="Arial"/>
                <w:b/>
                <w:sz w:val="14"/>
              </w:rPr>
              <w:t>People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Requester, colleagues, manager.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Requester and ServiceNow catalog.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Manager/Approver and Network Team.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Requester and relevant support/Network Team.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Requester; Network Team or manager if a new request is needed.</w:t>
            </w:r>
          </w:p>
        </w:tc>
      </w:tr>
      <w:tr>
        <w:tc>
          <w:tcPr>
            <w:tcW w:type="dxa" w:w="2424"/>
            <w:vAlign w:val="center"/>
          </w:tcPr>
          <w:p>
            <w:r>
              <w:rPr>
                <w:rFonts w:ascii="Arial" w:hAnsi="Arial"/>
                <w:b/>
                <w:sz w:val="14"/>
              </w:rPr>
              <w:t>Goals &amp; Motivations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Help me understand where and how to request network access.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Help me submit the correct request quickly with all required information.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Help me get the request approved and fulfilled without manual follow-up.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Help me know whether my request was approved, rejected, or completed.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Help me track previous requests and make future requests easier.</w:t>
            </w:r>
          </w:p>
        </w:tc>
      </w:tr>
      <w:tr>
        <w:tc>
          <w:tcPr>
            <w:tcW w:type="dxa" w:w="2424"/>
            <w:vAlign w:val="center"/>
          </w:tcPr>
          <w:p>
            <w:r>
              <w:rPr>
                <w:rFonts w:ascii="Arial" w:hAnsi="Arial"/>
                <w:b/>
                <w:sz w:val="14"/>
              </w:rPr>
              <w:t>Positive Moments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Clear ServiceNow entry point for the network request process.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Dynamic fields show relevant information and validation prevents common input errors.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Approval and fulfillment are automated; approved requests are routed to the Network Team.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Clear state tracking and notifications provide visibility into the outcome.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Reports/dashboard and request history provide useful visibility for authorized users.</w:t>
            </w:r>
          </w:p>
        </w:tc>
      </w:tr>
      <w:tr>
        <w:tc>
          <w:tcPr>
            <w:tcW w:type="dxa" w:w="2424"/>
            <w:vAlign w:val="center"/>
          </w:tcPr>
          <w:p>
            <w:r>
              <w:rPr>
                <w:rFonts w:ascii="Arial" w:hAnsi="Arial"/>
                <w:b/>
                <w:sz w:val="14"/>
              </w:rPr>
              <w:t>Negative Moments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User may not know which request type to choose.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Too many fields can be confusing if the required information is unclear.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Waiting for manager approval can delay the request; incomplete information can also slow fulfillment.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Requester may be uncertain if notifications are delayed or if status is not checked.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Users may need to repeat information for future requests.</w:t>
            </w:r>
          </w:p>
        </w:tc>
      </w:tr>
      <w:tr>
        <w:tc>
          <w:tcPr>
            <w:tcW w:type="dxa" w:w="2424"/>
            <w:vAlign w:val="center"/>
          </w:tcPr>
          <w:p>
            <w:r>
              <w:rPr>
                <w:rFonts w:ascii="Arial" w:hAnsi="Arial"/>
                <w:b/>
                <w:sz w:val="14"/>
              </w:rPr>
              <w:t>Areas of Opportunity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Provide clear catalog descriptions and guidance for each request type.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Continue improving dynamic form behavior, auto-population, and validation.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Improve approval visibility and provide clear fulfillment instructions to the Network Team.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Provide consistent approval/rejection/completion notifications and easy status visibility.</w:t>
            </w:r>
          </w:p>
        </w:tc>
        <w:tc>
          <w:tcPr>
            <w:tcW w:type="dxa" w:w="2424"/>
            <w:vAlign w:val="center"/>
          </w:tcPr>
          <w:p>
            <w:r>
              <w:rPr>
                <w:rFonts w:ascii="Arial" w:hAnsi="Arial"/>
                <w:sz w:val="14"/>
              </w:rPr>
              <w:t>Use request history, reports, and dashboard insights to identify recurring issues and improve the process.</w:t>
            </w:r>
          </w:p>
        </w:tc>
      </w:tr>
    </w:tbl>
    <w:p/>
    <w:p>
      <w:r>
        <w:rPr>
          <w:b/>
        </w:rPr>
        <w:t xml:space="preserve">Template alignment: </w:t>
      </w:r>
      <w:r>
        <w:t>This journey map follows the reference template's five stages—Entice, Enter, Engage, Exit, and Extend—and its rows for Steps, Interactions, Goals &amp; motivations, Positive moments, Negative moments, and Areas of opportunity. The reference also asks users to consider digital/physical touchpoints, places, and people under interactions.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