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w:t>
      </w:r>
    </w:p>
    <w:p>
      <w:pPr>
        <w:jc w:val="center"/>
      </w:pPr>
      <w:r>
        <w:rPr>
          <w:b/>
          <w:sz w:val="26"/>
        </w:rPr>
        <w:t>Proposed Solution Template</w:t>
      </w:r>
    </w:p>
    <w:tbl>
      <w:tblPr>
        <w:tblStyle w:val="TableGrid"/>
        <w:tblW w:type="auto" w:w="0"/>
        <w:jc w:val="center"/>
        <w:tblLook w:firstColumn="1" w:firstRow="1" w:lastColumn="0" w:lastRow="0" w:noHBand="0" w:noVBand="1" w:val="04A0"/>
      </w:tblPr>
      <w:tblGrid>
        <w:gridCol w:w="5328"/>
        <w:gridCol w:w="5328"/>
      </w:tblGrid>
      <w:tr>
        <w:tc>
          <w:tcPr>
            <w:tcW w:type="dxa" w:w="5328"/>
          </w:tcPr>
          <w:p>
            <w:r>
              <w:rPr>
                <w:rFonts w:ascii="Arial" w:hAnsi="Arial"/>
                <w:b/>
                <w:sz w:val="17"/>
              </w:rPr>
              <w:t>Date</w:t>
            </w:r>
          </w:p>
        </w:tc>
        <w:tc>
          <w:tcPr>
            <w:tcW w:type="dxa" w:w="5328"/>
          </w:tcPr>
          <w:p>
            <w:r>
              <w:rPr>
                <w:rFonts w:ascii="Arial" w:hAnsi="Arial"/>
                <w:sz w:val="17"/>
              </w:rPr>
              <w:t>07 September 2026</w:t>
            </w:r>
          </w:p>
        </w:tc>
      </w:tr>
      <w:tr>
        <w:tc>
          <w:tcPr>
            <w:tcW w:type="dxa" w:w="5328"/>
          </w:tcPr>
          <w:p>
            <w:r>
              <w:rPr>
                <w:rFonts w:ascii="Arial" w:hAnsi="Arial"/>
                <w:b/>
                <w:sz w:val="17"/>
              </w:rPr>
              <w:t>Team ID</w:t>
            </w:r>
          </w:p>
        </w:tc>
        <w:tc>
          <w:tcPr>
            <w:tcW w:type="dxa" w:w="5328"/>
          </w:tcPr>
          <w:p>
            <w:r>
              <w:rPr>
                <w:rFonts w:ascii="Arial" w:hAnsi="Arial"/>
                <w:sz w:val="17"/>
              </w:rPr>
            </w:r>
          </w:p>
        </w:tc>
      </w:tr>
      <w:tr>
        <w:tc>
          <w:tcPr>
            <w:tcW w:type="dxa" w:w="5328"/>
          </w:tcPr>
          <w:p>
            <w:r>
              <w:rPr>
                <w:rFonts w:ascii="Arial" w:hAnsi="Arial"/>
                <w:b/>
                <w:sz w:val="17"/>
              </w:rPr>
              <w:t>Project Name</w:t>
            </w:r>
          </w:p>
        </w:tc>
        <w:tc>
          <w:tcPr>
            <w:tcW w:type="dxa" w:w="5328"/>
          </w:tcPr>
          <w:p>
            <w:r>
              <w:rPr>
                <w:rFonts w:ascii="Arial" w:hAnsi="Arial"/>
                <w:sz w:val="17"/>
              </w:rPr>
              <w:t>Automated Network Request Management in ServiceNow</w:t>
            </w:r>
          </w:p>
        </w:tc>
      </w:tr>
      <w:tr>
        <w:tc>
          <w:tcPr>
            <w:tcW w:type="dxa" w:w="5328"/>
          </w:tcPr>
          <w:p>
            <w:r>
              <w:rPr>
                <w:rFonts w:ascii="Arial" w:hAnsi="Arial"/>
                <w:b/>
                <w:sz w:val="17"/>
              </w:rPr>
              <w:t>Maximum Marks</w:t>
            </w:r>
          </w:p>
        </w:tc>
        <w:tc>
          <w:tcPr>
            <w:tcW w:type="dxa" w:w="5328"/>
          </w:tcPr>
          <w:p>
            <w:r>
              <w:rPr>
                <w:rFonts w:ascii="Arial" w:hAnsi="Arial"/>
                <w:sz w:val="17"/>
              </w:rPr>
              <w:t>2 Marks</w:t>
            </w:r>
          </w:p>
        </w:tc>
      </w:tr>
    </w:tbl>
    <w:p/>
    <w:p>
      <w:r>
        <w:rPr>
          <w:b/>
          <w:sz w:val="22"/>
        </w:rPr>
        <w:t>Proposed Solution Template:</w:t>
      </w:r>
    </w:p>
    <w:p>
      <w:r>
        <w:t>Project team shall fill the following information for the proposed Automated Network Request Management solution.</w:t>
      </w:r>
    </w:p>
    <w:tbl>
      <w:tblPr>
        <w:tblStyle w:val="TableGrid"/>
        <w:tblW w:type="auto" w:w="0"/>
        <w:jc w:val="center"/>
        <w:tblLook w:firstColumn="1" w:firstRow="1" w:lastColumn="0" w:lastRow="0" w:noHBand="0" w:noVBand="1" w:val="04A0"/>
      </w:tblPr>
      <w:tblGrid>
        <w:gridCol w:w="3552"/>
        <w:gridCol w:w="3552"/>
        <w:gridCol w:w="3552"/>
      </w:tblGrid>
      <w:tr>
        <w:tc>
          <w:tcPr>
            <w:tcW w:type="dxa" w:w="792"/>
          </w:tcPr>
          <w:p>
            <w:r>
              <w:rPr>
                <w:rFonts w:ascii="Arial" w:hAnsi="Arial"/>
                <w:b/>
                <w:sz w:val="17"/>
              </w:rPr>
              <w:t>S.No.</w:t>
            </w:r>
          </w:p>
        </w:tc>
        <w:tc>
          <w:tcPr>
            <w:tcW w:type="dxa" w:w="3096"/>
          </w:tcPr>
          <w:p>
            <w:r>
              <w:rPr>
                <w:rFonts w:ascii="Arial" w:hAnsi="Arial"/>
                <w:b/>
                <w:sz w:val="17"/>
              </w:rPr>
              <w:t>Parameter</w:t>
            </w:r>
          </w:p>
        </w:tc>
        <w:tc>
          <w:tcPr>
            <w:tcW w:type="dxa" w:w="7056"/>
          </w:tcPr>
          <w:p>
            <w:r>
              <w:rPr>
                <w:rFonts w:ascii="Arial" w:hAnsi="Arial"/>
                <w:b/>
                <w:sz w:val="17"/>
              </w:rPr>
              <w:t>Description</w:t>
            </w:r>
          </w:p>
        </w:tc>
      </w:tr>
      <w:tr>
        <w:tc>
          <w:tcPr>
            <w:tcW w:type="dxa" w:w="792"/>
            <w:vAlign w:val="center"/>
          </w:tcPr>
          <w:p>
            <w:r>
              <w:rPr>
                <w:rFonts w:ascii="Arial" w:hAnsi="Arial"/>
                <w:sz w:val="17"/>
              </w:rPr>
              <w:t>1.</w:t>
            </w:r>
          </w:p>
        </w:tc>
        <w:tc>
          <w:tcPr>
            <w:tcW w:type="dxa" w:w="3096"/>
            <w:vAlign w:val="center"/>
          </w:tcPr>
          <w:p>
            <w:r>
              <w:rPr>
                <w:rFonts w:ascii="Arial" w:hAnsi="Arial"/>
                <w:sz w:val="17"/>
              </w:rPr>
              <w:t>Problem Statement (Problem to be solved)</w:t>
            </w:r>
          </w:p>
        </w:tc>
        <w:tc>
          <w:tcPr>
            <w:tcW w:type="dxa" w:w="7056"/>
            <w:vAlign w:val="center"/>
          </w:tcPr>
          <w:p>
            <w:r>
              <w:rPr>
                <w:rFonts w:ascii="Arial" w:hAnsi="Arial"/>
                <w:sz w:val="17"/>
              </w:rPr>
              <w:t>Network requests can involve multiple request types, different information requirements, manual approval coordination, and separate fulfillment activities. Without a centralized and automated process, users may be unsure what information to provide, managers may have difficulty tracking approvals, and the Network Team may need manual coordination to fulfill approved requests.</w:t>
            </w:r>
          </w:p>
        </w:tc>
      </w:tr>
      <w:tr>
        <w:tc>
          <w:tcPr>
            <w:tcW w:type="dxa" w:w="792"/>
            <w:vAlign w:val="center"/>
          </w:tcPr>
          <w:p>
            <w:r>
              <w:rPr>
                <w:rFonts w:ascii="Arial" w:hAnsi="Arial"/>
                <w:sz w:val="17"/>
              </w:rPr>
              <w:t>2.</w:t>
            </w:r>
          </w:p>
        </w:tc>
        <w:tc>
          <w:tcPr>
            <w:tcW w:type="dxa" w:w="3096"/>
            <w:vAlign w:val="center"/>
          </w:tcPr>
          <w:p>
            <w:r>
              <w:rPr>
                <w:rFonts w:ascii="Arial" w:hAnsi="Arial"/>
                <w:sz w:val="17"/>
              </w:rPr>
              <w:t>Idea / Solution description</w:t>
            </w:r>
          </w:p>
        </w:tc>
        <w:tc>
          <w:tcPr>
            <w:tcW w:type="dxa" w:w="7056"/>
            <w:vAlign w:val="center"/>
          </w:tcPr>
          <w:p>
            <w:r>
              <w:rPr>
                <w:rFonts w:ascii="Arial" w:hAnsi="Arial"/>
                <w:sz w:val="17"/>
              </w:rPr>
              <w:t>Develop an Automated Network Request Management solution in ServiceNow. Users submit network requests through a Service Catalog item in the Service Portal. The solution uses dynamic fields and client-side validation, captures the request as an RITM, and uses Flow Designer to create a Network Request record, send it for manager approval, create a fulfillment task for the Network Team after approval, handle rejection, and update the request state. Email notifications, reports, and a dashboard provide visibility into request processing.</w:t>
            </w:r>
          </w:p>
        </w:tc>
      </w:tr>
      <w:tr>
        <w:tc>
          <w:tcPr>
            <w:tcW w:type="dxa" w:w="792"/>
            <w:vAlign w:val="center"/>
          </w:tcPr>
          <w:p>
            <w:r>
              <w:rPr>
                <w:rFonts w:ascii="Arial" w:hAnsi="Arial"/>
                <w:sz w:val="17"/>
              </w:rPr>
              <w:t>3.</w:t>
            </w:r>
          </w:p>
        </w:tc>
        <w:tc>
          <w:tcPr>
            <w:tcW w:type="dxa" w:w="3096"/>
            <w:vAlign w:val="center"/>
          </w:tcPr>
          <w:p>
            <w:r>
              <w:rPr>
                <w:rFonts w:ascii="Arial" w:hAnsi="Arial"/>
                <w:sz w:val="17"/>
              </w:rPr>
              <w:t>Novelty / Uniqueness</w:t>
            </w:r>
          </w:p>
        </w:tc>
        <w:tc>
          <w:tcPr>
            <w:tcW w:type="dxa" w:w="7056"/>
            <w:vAlign w:val="center"/>
          </w:tcPr>
          <w:p>
            <w:r>
              <w:rPr>
                <w:rFonts w:ascii="Arial" w:hAnsi="Arial"/>
                <w:sz w:val="17"/>
              </w:rPr>
              <w:t>The solution combines a dynamic Service Catalog request form, requester information auto-population, input validation, automated manager approval, automated Network Team fulfillment, state tracking, notifications, and dashboard monitoring into one end-to-end workflow. The approach reduces manual coordination while keeping the process configurable through ServiceNow.</w:t>
            </w:r>
          </w:p>
        </w:tc>
      </w:tr>
      <w:tr>
        <w:tc>
          <w:tcPr>
            <w:tcW w:type="dxa" w:w="792"/>
            <w:vAlign w:val="center"/>
          </w:tcPr>
          <w:p>
            <w:r>
              <w:rPr>
                <w:rFonts w:ascii="Arial" w:hAnsi="Arial"/>
                <w:sz w:val="17"/>
              </w:rPr>
              <w:t>4.</w:t>
            </w:r>
          </w:p>
        </w:tc>
        <w:tc>
          <w:tcPr>
            <w:tcW w:type="dxa" w:w="3096"/>
            <w:vAlign w:val="center"/>
          </w:tcPr>
          <w:p>
            <w:r>
              <w:rPr>
                <w:rFonts w:ascii="Arial" w:hAnsi="Arial"/>
                <w:sz w:val="17"/>
              </w:rPr>
              <w:t>Social Impact / Customer Satisfaction</w:t>
            </w:r>
          </w:p>
        </w:tc>
        <w:tc>
          <w:tcPr>
            <w:tcW w:type="dxa" w:w="7056"/>
            <w:vAlign w:val="center"/>
          </w:tcPr>
          <w:p>
            <w:r>
              <w:rPr>
                <w:rFonts w:ascii="Arial" w:hAnsi="Arial"/>
                <w:sz w:val="17"/>
              </w:rPr>
              <w:t>The solution improves the employee/requester experience by making network requests easier to submit and easier to track. Dynamic fields reduce unnecessary information, validation helps prevent common input errors, and automated approval and fulfillment improve process transparency. Managers and Network Team members also receive clearer request status and task visibility.</w:t>
            </w:r>
          </w:p>
        </w:tc>
      </w:tr>
      <w:tr>
        <w:tc>
          <w:tcPr>
            <w:tcW w:type="dxa" w:w="792"/>
            <w:vAlign w:val="center"/>
          </w:tcPr>
          <w:p>
            <w:r>
              <w:rPr>
                <w:rFonts w:ascii="Arial" w:hAnsi="Arial"/>
                <w:sz w:val="17"/>
              </w:rPr>
              <w:t>5.</w:t>
            </w:r>
          </w:p>
        </w:tc>
        <w:tc>
          <w:tcPr>
            <w:tcW w:type="dxa" w:w="3096"/>
            <w:vAlign w:val="center"/>
          </w:tcPr>
          <w:p>
            <w:r>
              <w:rPr>
                <w:rFonts w:ascii="Arial" w:hAnsi="Arial"/>
                <w:sz w:val="17"/>
              </w:rPr>
              <w:t>Business Model (Revenue Model)</w:t>
            </w:r>
          </w:p>
        </w:tc>
        <w:tc>
          <w:tcPr>
            <w:tcW w:type="dxa" w:w="7056"/>
            <w:vAlign w:val="center"/>
          </w:tcPr>
          <w:p>
            <w:r>
              <w:rPr>
                <w:rFonts w:ascii="Arial" w:hAnsi="Arial"/>
                <w:sz w:val="17"/>
              </w:rPr>
              <w:t>The proposed solution is primarily an enterprise internal process-automation solution rather than a standalone consumer product. Organizations can use it with their existing ServiceNow platform to reduce manual processing effort, improve operational efficiency, and reduce delays and errors. Its business value is therefore measured through time savings, improved request handling, and better process control.</w:t>
            </w:r>
          </w:p>
        </w:tc>
      </w:tr>
      <w:tr>
        <w:tc>
          <w:tcPr>
            <w:tcW w:type="dxa" w:w="792"/>
            <w:vAlign w:val="center"/>
          </w:tcPr>
          <w:p>
            <w:r>
              <w:rPr>
                <w:rFonts w:ascii="Arial" w:hAnsi="Arial"/>
                <w:sz w:val="17"/>
              </w:rPr>
              <w:t>6.</w:t>
            </w:r>
          </w:p>
        </w:tc>
        <w:tc>
          <w:tcPr>
            <w:tcW w:type="dxa" w:w="3096"/>
            <w:vAlign w:val="center"/>
          </w:tcPr>
          <w:p>
            <w:r>
              <w:rPr>
                <w:rFonts w:ascii="Arial" w:hAnsi="Arial"/>
                <w:sz w:val="17"/>
              </w:rPr>
              <w:t>Scalability of the Solution</w:t>
            </w:r>
          </w:p>
        </w:tc>
        <w:tc>
          <w:tcPr>
            <w:tcW w:type="dxa" w:w="7056"/>
            <w:vAlign w:val="center"/>
          </w:tcPr>
          <w:p>
            <w:r>
              <w:rPr>
                <w:rFonts w:ascii="Arial" w:hAnsi="Arial"/>
                <w:sz w:val="17"/>
              </w:rPr>
              <w:t>The solution can be extended by adding new network request types, additional request-specific fields, more approval rules, additional fulfillment groups, more notifications, integrations with network/security systems, and additional reports or dashboards. The ServiceNow-based design supports expansion as the organization's network request volume and requirements grow.</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