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Arial" w:cs="Arial" w:eastAsia="Arial" w:hAnsi="Arial"/>
          <w:b/>
          <w:bCs/>
          <w:color w:val="1B3A5C"/>
          <w:sz w:val="28"/>
          <w:szCs w:val="28"/>
        </w:rPr>
        <w:t xml:space="preserve">THE SOMATIC TINNITUS PROJECT</w:t>
      </w:r>
    </w:p>
    <w:p>
      <w:pPr>
        <w:spacing w:after="80" w:before="0"/>
        <w:jc w:val="center"/>
      </w:pPr>
      <w:r>
        <w:rPr>
          <w:rFonts w:ascii="Arial" w:cs="Arial" w:eastAsia="Arial" w:hAnsi="Arial"/>
          <w:color w:val="95A5A6"/>
          <w:sz w:val="22"/>
          <w:szCs w:val="22"/>
        </w:rPr>
        <w:t xml:space="preserve">Document 10 of the Project Suite</w:t>
      </w:r>
    </w:p>
    <w:p>
      <w:pPr>
        <w:spacing w:after="200" w:before="0"/>
      </w:pPr>
    </w:p>
    <w:p>
      <w:pPr>
        <w:pBdr>
          <w:bottom w:val="single" w:color="2A7F7F" w:sz="8" w:space="1"/>
        </w:pBdr>
        <w:spacing w:after="300" w:before="0"/>
        <w:jc w:val="center"/>
      </w:pPr>
    </w:p>
    <w:p>
      <w:pPr>
        <w:spacing w:after="200" w:before="0"/>
      </w:pPr>
    </w:p>
    <w:p>
      <w:pPr>
        <w:spacing w:after="160" w:before="0"/>
        <w:jc w:val="center"/>
      </w:pPr>
      <w:r>
        <w:rPr>
          <w:rFonts w:ascii="Arial" w:cs="Arial" w:eastAsia="Arial" w:hAnsi="Arial"/>
          <w:b/>
          <w:bCs/>
          <w:color w:val="1B3A5C"/>
          <w:sz w:val="40"/>
          <w:szCs w:val="40"/>
        </w:rPr>
        <w:t xml:space="preserve">Legal, Compliance &amp; Terms Draft</w:t>
      </w:r>
    </w:p>
    <w:p>
      <w:pPr>
        <w:spacing w:after="80" w:before="0"/>
        <w:jc w:val="center"/>
      </w:pPr>
      <w:r>
        <w:rPr>
          <w:rFonts w:ascii="Arial" w:cs="Arial" w:eastAsia="Arial" w:hAnsi="Arial"/>
          <w:color w:val="2A7F7F"/>
          <w:sz w:val="24"/>
          <w:szCs w:val="24"/>
        </w:rPr>
        <w:t xml:space="preserve">Stage 4 of 9 — Pre-Launch Legal Preparation</w:t>
      </w:r>
    </w:p>
    <w:p>
      <w:pPr>
        <w:spacing w:after="40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PART A</w:t>
            </w:r>
          </w:p>
          <w:p>
            <w:pPr>
              <w:jc w:val="center"/>
            </w:pPr>
            <w:r>
              <w:rPr>
                <w:rFonts w:ascii="Arial" w:cs="Arial" w:eastAsia="Arial" w:hAnsi="Arial"/>
                <w:color w:val="E8F4F4"/>
                <w:sz w:val="20"/>
                <w:szCs w:val="20"/>
              </w:rPr>
              <w:t xml:space="preserve">Terms of Service Draft</w:t>
            </w:r>
          </w:p>
        </w:tc>
        <w:tc>
          <w:tcPr>
            <w:tcW w:type="dxa" w:w="3600"/>
            <w:tcBorders>
              <w:top w:val="none" w:color="FFFFFF" w:sz="0"/>
              <w:left w:val="none" w:color="FFFFFF" w:sz="0"/>
              <w:bottom w:val="none" w:color="FFFFFF" w:sz="0"/>
              <w:right w:val="none" w:color="FFFFFF" w:sz="0"/>
            </w:tcBorders>
            <w:shd w:fill="2A7F7F"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PART B</w:t>
            </w:r>
          </w:p>
          <w:p>
            <w:pPr>
              <w:jc w:val="center"/>
            </w:pPr>
            <w:r>
              <w:rPr>
                <w:rFonts w:ascii="Arial" w:cs="Arial" w:eastAsia="Arial" w:hAnsi="Arial"/>
                <w:color w:val="E8F4F4"/>
                <w:sz w:val="20"/>
                <w:szCs w:val="20"/>
              </w:rPr>
              <w:t xml:space="preserve">GDPR Consent Flow</w:t>
            </w:r>
          </w:p>
        </w:tc>
      </w:tr>
      <w:tr>
        <w:tc>
          <w:tcPr>
            <w:tcW w:type="dxa" w:w="3600"/>
            <w:tcBorders>
              <w:top w:val="none" w:color="FFFFFF" w:sz="0"/>
              <w:left w:val="none" w:color="FFFFFF" w:sz="0"/>
              <w:bottom w:val="none" w:color="FFFFFF" w:sz="0"/>
              <w:right w:val="none" w:color="FFFFFF" w:sz="0"/>
            </w:tcBorders>
            <w:shd w:fill="E8F4F4" w:val="clear"/>
            <w:tcMar>
              <w:top w:type="dxa" w:w="120"/>
              <w:left w:type="dxa" w:w="200"/>
              <w:bottom w:type="dxa" w:w="120"/>
              <w:right w:type="dxa" w:w="200"/>
            </w:tcMar>
          </w:tcPr>
          <w:p>
            <w:pPr>
              <w:jc w:val="center"/>
            </w:pPr>
            <w:r>
              <w:rPr>
                <w:rFonts w:ascii="Arial" w:cs="Arial" w:eastAsia="Arial" w:hAnsi="Arial"/>
                <w:b/>
                <w:bCs/>
                <w:color w:val="1B3A5C"/>
                <w:sz w:val="20"/>
                <w:szCs w:val="20"/>
              </w:rPr>
              <w:t xml:space="preserve">PART C</w:t>
            </w:r>
          </w:p>
          <w:p>
            <w:pPr>
              <w:jc w:val="center"/>
            </w:pPr>
            <w:r>
              <w:rPr>
                <w:rFonts w:ascii="Arial" w:cs="Arial" w:eastAsia="Arial" w:hAnsi="Arial"/>
                <w:color w:val="2A7F7F"/>
                <w:sz w:val="20"/>
                <w:szCs w:val="20"/>
              </w:rPr>
              <w:t xml:space="preserve">ICO Registration Prompt</w:t>
            </w:r>
          </w:p>
        </w:tc>
        <w:tc>
          <w:tcPr>
            <w:tcW w:type="dxa" w:w="360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jc w:val="center"/>
            </w:pPr>
            <w:r>
              <w:rPr>
                <w:rFonts w:ascii="Arial" w:cs="Arial" w:eastAsia="Arial" w:hAnsi="Arial"/>
                <w:b/>
                <w:bCs/>
                <w:color w:val="1B3A5C"/>
                <w:sz w:val="20"/>
                <w:szCs w:val="20"/>
              </w:rPr>
              <w:t xml:space="preserve">PART D</w:t>
            </w:r>
          </w:p>
          <w:p>
            <w:pPr>
              <w:jc w:val="center"/>
            </w:pPr>
            <w:r>
              <w:rPr>
                <w:rFonts w:ascii="Arial" w:cs="Arial" w:eastAsia="Arial" w:hAnsi="Arial"/>
                <w:color w:val="2A7F7F"/>
                <w:sz w:val="20"/>
                <w:szCs w:val="20"/>
              </w:rPr>
              <w:t xml:space="preserve">Lawyer Session Briefing</w:t>
            </w:r>
          </w:p>
        </w:tc>
      </w:tr>
    </w:tbl>
    <w:p>
      <w:pPr>
        <w:spacing w:after="400" w:before="0"/>
      </w:pPr>
    </w:p>
    <w:p>
      <w:pPr>
        <w:jc w:val="center"/>
      </w:pPr>
      <w:r>
        <w:rPr>
          <w:rFonts w:ascii="Arial" w:cs="Arial" w:eastAsia="Arial" w:hAnsi="Arial"/>
          <w:i/>
          <w:iCs/>
          <w:color w:val="95A5A6"/>
          <w:sz w:val="20"/>
          <w:szCs w:val="20"/>
        </w:rPr>
        <w:t xml:space="preserve">Stages 1, 2, 3 complete and locked. Documents 7, 8, 9 locked.</w:t>
      </w:r>
    </w:p>
    <w:p>
      <w:pPr>
        <w:jc w:val="center"/>
      </w:pPr>
      <w:r>
        <w:rPr>
          <w:rFonts w:ascii="Arial" w:cs="Arial" w:eastAsia="Arial" w:hAnsi="Arial"/>
          <w:i/>
          <w:iCs/>
          <w:color w:val="C0392B"/>
          <w:sz w:val="20"/>
          <w:szCs w:val="20"/>
        </w:rPr>
        <w:t xml:space="preserve">This document is a pre-lawyer draft. All clauses marked LAWYER REVIEW require professional legal sign-off before publication.</w:t>
      </w:r>
    </w:p>
    <w:p>
      <w:r>
        <w:br w:type="page"/>
      </w:r>
    </w:p>
    <w:p>
      <w:pPr>
        <w:spacing w:after="80" w:before="0"/>
      </w:pPr>
      <w:r>
        <w:rPr>
          <w:rFonts w:ascii="Arial" w:cs="Arial" w:eastAsia="Arial" w:hAnsi="Arial"/>
          <w:b/>
          <w:bCs/>
          <w:color w:val="2A7F7F"/>
          <w:sz w:val="20"/>
          <w:szCs w:val="20"/>
        </w:rPr>
        <w:t xml:space="preserve">PART A</w:t>
      </w:r>
    </w:p>
    <w:p>
      <w:pPr>
        <w:pStyle w:val="Heading1"/>
        <w:spacing w:after="120" w:before="360"/>
      </w:pPr>
      <w:r>
        <w:rPr>
          <w:rFonts w:ascii="Arial" w:cs="Arial" w:eastAsia="Arial" w:hAnsi="Arial"/>
          <w:b/>
          <w:bCs/>
          <w:color w:val="1B3A5C"/>
          <w:sz w:val="28"/>
          <w:szCs w:val="28"/>
        </w:rPr>
        <w:t xml:space="preserve">Terms of Service</w:t>
      </w:r>
    </w:p>
    <w:p>
      <w:pPr>
        <w:spacing w:after="120" w:before="80"/>
      </w:pPr>
      <w:r>
        <w:rPr>
          <w:rFonts w:ascii="Arial" w:cs="Arial" w:eastAsia="Arial" w:hAnsi="Arial"/>
          <w:color w:val="1A1A2E"/>
          <w:sz w:val="22"/>
          <w:szCs w:val="22"/>
        </w:rPr>
        <w:t xml:space="preserve">The Somatic Tinnitus Project — somatictinnitusproject.com</w:t>
      </w:r>
    </w:p>
    <w:p>
      <w:pPr>
        <w:spacing w:after="120" w:before="80"/>
      </w:pPr>
      <w:r>
        <w:rPr>
          <w:rFonts w:ascii="Arial" w:cs="Arial" w:eastAsia="Arial" w:hAnsi="Arial"/>
          <w:color w:val="1A1A2E"/>
          <w:sz w:val="22"/>
          <w:szCs w:val="22"/>
        </w:rPr>
        <w:t xml:space="preserve">Last updated: [DATE TO BE INSERTED BEFORE PUBLICATION]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is a pre-launch draft produced during Stage 4. Every section marked LAWYER REVIEW must be reviewed by a qualified solicitor before these terms are published. Do not publish this document as-is.</w:t>
            </w:r>
          </w:p>
        </w:tc>
      </w:tr>
    </w:tbl>
    <w:p>
      <w:pPr>
        <w:spacing w:after="120" w:before="0"/>
      </w:pPr>
    </w:p>
    <w:p>
      <w:pPr>
        <w:pStyle w:val="Heading2"/>
        <w:spacing w:after="100" w:before="280"/>
      </w:pPr>
      <w:r>
        <w:rPr>
          <w:rFonts w:ascii="Arial" w:cs="Arial" w:eastAsia="Arial" w:hAnsi="Arial"/>
          <w:b/>
          <w:bCs/>
          <w:color w:val="2A7F7F"/>
          <w:sz w:val="24"/>
          <w:szCs w:val="24"/>
        </w:rPr>
        <w:t xml:space="preserve">1. About the Platform</w:t>
      </w:r>
    </w:p>
    <w:p>
      <w:pPr>
        <w:spacing w:after="120" w:before="80"/>
      </w:pPr>
      <w:r>
        <w:rPr>
          <w:rFonts w:ascii="Arial" w:cs="Arial" w:eastAsia="Arial" w:hAnsi="Arial"/>
          <w:color w:val="1A1A2E"/>
          <w:sz w:val="22"/>
          <w:szCs w:val="22"/>
        </w:rPr>
        <w:t xml:space="preserve">The Somatic Tinnitus Project ("the Platform," "we," "us," "our") is operated by Oliver [SURNAME] as a sole trader registered in England and Wales. The Platform provides an educational framework, self-assessment tools, an exercise library, a progress tracker, and a community for individuals exploring the somatic contributors to their tinnitus.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Insert full legal name, sole trader or company registration details, and registered address before publication. If operating as a limited company by launch, update accordingly.</w:t>
            </w:r>
          </w:p>
        </w:tc>
      </w:tr>
    </w:tbl>
    <w:p>
      <w:pPr>
        <w:spacing w:after="120" w:before="0"/>
      </w:pPr>
    </w:p>
    <w:p>
      <w:pPr>
        <w:pStyle w:val="Heading2"/>
        <w:spacing w:after="100" w:before="280"/>
      </w:pPr>
      <w:r>
        <w:rPr>
          <w:rFonts w:ascii="Arial" w:cs="Arial" w:eastAsia="Arial" w:hAnsi="Arial"/>
          <w:b/>
          <w:bCs/>
          <w:color w:val="2A7F7F"/>
          <w:sz w:val="24"/>
          <w:szCs w:val="24"/>
        </w:rPr>
        <w:t xml:space="preserve">2. Nature of the Platform — Educational Framing</w:t>
      </w:r>
    </w:p>
    <w:p>
      <w:pPr>
        <w:spacing w:after="120" w:before="80"/>
      </w:pPr>
      <w:r>
        <w:rPr>
          <w:rFonts w:ascii="Arial" w:cs="Arial" w:eastAsia="Arial" w:hAnsi="Arial"/>
          <w:color w:val="1A1A2E"/>
          <w:sz w:val="22"/>
          <w:szCs w:val="22"/>
        </w:rPr>
        <w:t xml:space="preserve">The Platform is an educational resource. It shares personal experience, community insights, and self-directed frameworks for exploring the relationship between physical factors and tinnitus. It is not a medical service and does not provide medical advice, medical diagnosis, clinical treatment, or therapeutic intervention of any kind.</w:t>
      </w:r>
    </w:p>
    <w:p>
      <w:pPr>
        <w:spacing w:after="80" w:before="0"/>
      </w:pPr>
    </w:p>
    <w:p>
      <w:pPr>
        <w:spacing w:after="120" w:before="80"/>
      </w:pPr>
      <w:r>
        <w:rPr>
          <w:rFonts w:ascii="Arial" w:cs="Arial" w:eastAsia="Arial" w:hAnsi="Arial"/>
          <w:color w:val="1A1A2E"/>
          <w:sz w:val="22"/>
          <w:szCs w:val="22"/>
        </w:rPr>
        <w:t xml:space="preserve">Nothing on this Platform constitutes medical advice or diagnosis. The self-assessment tools and classification outputs (described in Section 3) are educational indicators only. They are not diagnostic instruments and do not produce clinical diagnoses. Any result, score, classification, or framework recommendation you receive through the Platform reflects self-reported information processed through an educational model — it is not a clinical assessment and should not be treated as one.</w:t>
      </w:r>
    </w:p>
    <w:p>
      <w:pPr>
        <w:spacing w:after="80" w:before="0"/>
      </w:pPr>
    </w:p>
    <w:p>
      <w:pPr>
        <w:spacing w:after="120" w:before="80"/>
      </w:pPr>
      <w:r>
        <w:rPr>
          <w:rFonts w:ascii="Arial" w:cs="Arial" w:eastAsia="Arial" w:hAnsi="Arial"/>
          <w:color w:val="1A1A2E"/>
          <w:sz w:val="22"/>
          <w:szCs w:val="22"/>
        </w:rPr>
        <w:t xml:space="preserve">If you have tinnitus, you should consult a qualified healthcare professional to rule out underlying medical causes before exploring somatic approaches. Nothing on this Platform replaces that assessment.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clause is the platform's primary liability protection and must be reviewed carefully. The platform collects health data, generates a classification (A/B/C — Likely Somatic, Likely Somatic Component, Less Likely Somatic), and delivers a structured health intervention. The lawyer should assess whether the current educational framing is sufficient or whether additional disclaimers are required, and whether the platform risks classification as a medical device under the MHRA framework. This is question 4 on the lawyer briefing agenda.</w:t>
            </w:r>
          </w:p>
        </w:tc>
      </w:tr>
    </w:tbl>
    <w:p>
      <w:pPr>
        <w:spacing w:after="120" w:before="0"/>
      </w:pPr>
    </w:p>
    <w:p>
      <w:pPr>
        <w:pStyle w:val="Heading2"/>
        <w:spacing w:after="100" w:before="280"/>
      </w:pPr>
      <w:r>
        <w:rPr>
          <w:rFonts w:ascii="Arial" w:cs="Arial" w:eastAsia="Arial" w:hAnsi="Arial"/>
          <w:b/>
          <w:bCs/>
          <w:color w:val="2A7F7F"/>
          <w:sz w:val="24"/>
          <w:szCs w:val="24"/>
        </w:rPr>
        <w:t xml:space="preserve">3. Self-Assessment Tools and Classification Output</w:t>
      </w:r>
    </w:p>
    <w:p>
      <w:pPr>
        <w:spacing w:after="120" w:before="80"/>
      </w:pPr>
      <w:r>
        <w:rPr>
          <w:rFonts w:ascii="Arial" w:cs="Arial" w:eastAsia="Arial" w:hAnsi="Arial"/>
          <w:color w:val="1A1A2E"/>
          <w:sz w:val="22"/>
          <w:szCs w:val="22"/>
        </w:rPr>
        <w:t xml:space="preserve">The Platform includes a self-assessment intake test and a Phase 1 identification module. On completing the intake test, you receive one of three educational classifications:</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Classification A — Likely Strong Somatic Component: your responses suggest a significant somatic contributor to your tinnitus is likely.</w:t>
      </w:r>
    </w:p>
    <w:p>
      <w:pPr>
        <w:pStyle w:val="ListParagraph"/>
        <w:numPr>
          <w:ilvl w:val="0"/>
          <w:numId w:val="2"/>
        </w:numPr>
        <w:spacing w:after="60" w:before="60"/>
      </w:pPr>
      <w:r>
        <w:rPr>
          <w:rFonts w:ascii="Arial" w:cs="Arial" w:eastAsia="Arial" w:hAnsi="Arial"/>
          <w:b w:val="false"/>
          <w:bCs w:val="false"/>
          <w:color w:val="1A1A2E"/>
          <w:sz w:val="22"/>
          <w:szCs w:val="22"/>
        </w:rPr>
        <w:t xml:space="preserve">Classification B — Likely Somatic Component: your responses suggest some somatic contribution to your tinnitus is possible.</w:t>
      </w:r>
    </w:p>
    <w:p>
      <w:pPr>
        <w:pStyle w:val="ListParagraph"/>
        <w:numPr>
          <w:ilvl w:val="0"/>
          <w:numId w:val="2"/>
        </w:numPr>
        <w:spacing w:after="60" w:before="60"/>
      </w:pPr>
      <w:r>
        <w:rPr>
          <w:rFonts w:ascii="Arial" w:cs="Arial" w:eastAsia="Arial" w:hAnsi="Arial"/>
          <w:b w:val="false"/>
          <w:bCs w:val="false"/>
          <w:color w:val="1A1A2E"/>
          <w:sz w:val="22"/>
          <w:szCs w:val="22"/>
        </w:rPr>
        <w:t xml:space="preserve">Classification C — Less Likely Somatic Component: your responses suggest a strong somatic component is less likely based on the information provided.</w:t>
      </w:r>
    </w:p>
    <w:p>
      <w:pPr>
        <w:spacing w:after="80" w:before="0"/>
      </w:pPr>
    </w:p>
    <w:p>
      <w:pPr>
        <w:spacing w:after="120" w:before="80"/>
      </w:pPr>
      <w:r>
        <w:rPr>
          <w:rFonts w:ascii="Arial" w:cs="Arial" w:eastAsia="Arial" w:hAnsi="Arial"/>
          <w:color w:val="1A1A2E"/>
          <w:sz w:val="22"/>
          <w:szCs w:val="22"/>
        </w:rPr>
        <w:t xml:space="preserve">These classifications are educational indicators derived from self-reported responses. They are not medical diagnoses. They do not predict outcomes. They are intended to help you understand whether the somatic framework is likely to be relevant to your experience, not to characterise the nature or severity of your condition.</w:t>
      </w:r>
    </w:p>
    <w:p>
      <w:pPr>
        <w:spacing w:after="80" w:before="0"/>
      </w:pPr>
    </w:p>
    <w:p>
      <w:pPr>
        <w:spacing w:after="120" w:before="80"/>
      </w:pPr>
      <w:r>
        <w:rPr>
          <w:rFonts w:ascii="Arial" w:cs="Arial" w:eastAsia="Arial" w:hAnsi="Arial"/>
          <w:color w:val="1A1A2E"/>
          <w:sz w:val="22"/>
          <w:szCs w:val="22"/>
        </w:rPr>
        <w:t xml:space="preserve">The Platform makes no representations about the accuracy, completeness, or suitability of these classifications for any individual. You accept full responsibility for how you use or act upon any classification result.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The A/B/C classification system and its exact member-facing language should be reviewed against the MHRA's definition of a medical device (a tool "intended for diagnosis, prevention, monitoring, treatment or alleviation of disease"). The educational framing and explicit non-diagnostic disclaimer in this clause are the primary protection. Lawyer to confirm adequacy. This is question 3 on the lawyer briefing agenda.</w:t>
            </w:r>
          </w:p>
        </w:tc>
      </w:tr>
    </w:tbl>
    <w:p>
      <w:pPr>
        <w:spacing w:after="120" w:before="0"/>
      </w:pPr>
    </w:p>
    <w:p>
      <w:pPr>
        <w:pStyle w:val="Heading2"/>
        <w:spacing w:after="100" w:before="280"/>
      </w:pPr>
      <w:r>
        <w:rPr>
          <w:rFonts w:ascii="Arial" w:cs="Arial" w:eastAsia="Arial" w:hAnsi="Arial"/>
          <w:b/>
          <w:bCs/>
          <w:color w:val="2A7F7F"/>
          <w:sz w:val="24"/>
          <w:szCs w:val="24"/>
        </w:rPr>
        <w:t xml:space="preserve">4. Founding Member Access</w:t>
      </w:r>
    </w:p>
    <w:p>
      <w:pPr>
        <w:spacing w:after="120" w:before="80"/>
      </w:pPr>
      <w:r>
        <w:rPr>
          <w:rFonts w:ascii="Arial" w:cs="Arial" w:eastAsia="Arial" w:hAnsi="Arial"/>
          <w:color w:val="1A1A2E"/>
          <w:sz w:val="22"/>
          <w:szCs w:val="22"/>
        </w:rPr>
        <w:t xml:space="preserve">Individuals who joined the Platform as founding members prior to the launch of paid membership ("Founding Members") are entitled to free access for life, subject to the terms set out in this section.</w:t>
      </w:r>
    </w:p>
    <w:p>
      <w:pPr>
        <w:spacing w:after="80" w:before="0"/>
      </w:pPr>
    </w:p>
    <w:p>
      <w:pPr>
        <w:pStyle w:val="Heading3"/>
        <w:spacing w:after="80" w:before="200"/>
      </w:pPr>
      <w:r>
        <w:rPr>
          <w:rFonts w:ascii="Arial" w:cs="Arial" w:eastAsia="Arial" w:hAnsi="Arial"/>
          <w:b/>
          <w:bCs/>
          <w:color w:val="1B3A5C"/>
          <w:sz w:val="22"/>
          <w:szCs w:val="22"/>
        </w:rPr>
        <w:t xml:space="preserve">4.1 What Founding Member Access Includes</w:t>
      </w:r>
    </w:p>
    <w:p>
      <w:pPr>
        <w:spacing w:after="120" w:before="80"/>
      </w:pPr>
      <w:r>
        <w:rPr>
          <w:rFonts w:ascii="Arial" w:cs="Arial" w:eastAsia="Arial" w:hAnsi="Arial"/>
          <w:color w:val="1A1A2E"/>
          <w:sz w:val="22"/>
          <w:szCs w:val="22"/>
        </w:rPr>
        <w:t xml:space="preserve">Founding Members receive, free of charge for the lifetime of their membership, access to:</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The full Somatic Tinnitus Framework (all phases)</w:t>
      </w:r>
    </w:p>
    <w:p>
      <w:pPr>
        <w:pStyle w:val="ListParagraph"/>
        <w:numPr>
          <w:ilvl w:val="0"/>
          <w:numId w:val="2"/>
        </w:numPr>
        <w:spacing w:after="60" w:before="60"/>
      </w:pPr>
      <w:r>
        <w:rPr>
          <w:rFonts w:ascii="Arial" w:cs="Arial" w:eastAsia="Arial" w:hAnsi="Arial"/>
          <w:b w:val="false"/>
          <w:bCs w:val="false"/>
          <w:color w:val="1A1A2E"/>
          <w:sz w:val="22"/>
          <w:szCs w:val="22"/>
        </w:rPr>
        <w:t xml:space="preserve">The Exercise and Resource Library</w:t>
      </w:r>
    </w:p>
    <w:p>
      <w:pPr>
        <w:pStyle w:val="ListParagraph"/>
        <w:numPr>
          <w:ilvl w:val="0"/>
          <w:numId w:val="2"/>
        </w:numPr>
        <w:spacing w:after="60" w:before="60"/>
      </w:pPr>
      <w:r>
        <w:rPr>
          <w:rFonts w:ascii="Arial" w:cs="Arial" w:eastAsia="Arial" w:hAnsi="Arial"/>
          <w:b w:val="false"/>
          <w:bCs w:val="false"/>
          <w:color w:val="1A1A2E"/>
          <w:sz w:val="22"/>
          <w:szCs w:val="22"/>
        </w:rPr>
        <w:t xml:space="preserve">The Progress Tracker</w:t>
      </w:r>
    </w:p>
    <w:p>
      <w:pPr>
        <w:pStyle w:val="ListParagraph"/>
        <w:numPr>
          <w:ilvl w:val="0"/>
          <w:numId w:val="2"/>
        </w:numPr>
        <w:spacing w:after="60" w:before="60"/>
      </w:pPr>
      <w:r>
        <w:rPr>
          <w:rFonts w:ascii="Arial" w:cs="Arial" w:eastAsia="Arial" w:hAnsi="Arial"/>
          <w:b w:val="false"/>
          <w:bCs w:val="false"/>
          <w:color w:val="1A1A2E"/>
          <w:sz w:val="22"/>
          <w:szCs w:val="22"/>
        </w:rPr>
        <w:t xml:space="preserve">The Community</w:t>
      </w:r>
    </w:p>
    <w:p>
      <w:pPr>
        <w:pStyle w:val="ListParagraph"/>
        <w:numPr>
          <w:ilvl w:val="0"/>
          <w:numId w:val="2"/>
        </w:numPr>
        <w:spacing w:after="60" w:before="60"/>
      </w:pPr>
      <w:r>
        <w:rPr>
          <w:rFonts w:ascii="Arial" w:cs="Arial" w:eastAsia="Arial" w:hAnsi="Arial"/>
          <w:b w:val="false"/>
          <w:bCs w:val="false"/>
          <w:color w:val="1A1A2E"/>
          <w:sz w:val="22"/>
          <w:szCs w:val="22"/>
        </w:rPr>
        <w:t xml:space="preserve">All general feature updates, improvements, and additions to the above features as the Platform develops</w:t>
      </w:r>
    </w:p>
    <w:p>
      <w:pPr>
        <w:spacing w:after="80" w:before="0"/>
      </w:pPr>
    </w:p>
    <w:p>
      <w:pPr>
        <w:pStyle w:val="Heading3"/>
        <w:spacing w:after="80" w:before="200"/>
      </w:pPr>
      <w:r>
        <w:rPr>
          <w:rFonts w:ascii="Arial" w:cs="Arial" w:eastAsia="Arial" w:hAnsi="Arial"/>
          <w:b/>
          <w:bCs/>
          <w:color w:val="1B3A5C"/>
          <w:sz w:val="22"/>
          <w:szCs w:val="22"/>
        </w:rPr>
        <w:t xml:space="preserve">4.2 What Founding Member Access Does Not Include</w:t>
      </w:r>
    </w:p>
    <w:p>
      <w:pPr>
        <w:spacing w:after="120" w:before="80"/>
      </w:pPr>
      <w:r>
        <w:rPr>
          <w:rFonts w:ascii="Arial" w:cs="Arial" w:eastAsia="Arial" w:hAnsi="Arial"/>
          <w:color w:val="1A1A2E"/>
          <w:sz w:val="22"/>
          <w:szCs w:val="22"/>
        </w:rPr>
        <w:t xml:space="preserve">Founding Member access does not extend to any separately priced premium product that may be introduced in the future. A "separately priced premium product" means a distinct product or service launched at a materially higher price point than the standard membership subscription, offering content or functionality that is substantively different from the core Platform features listed in Section 4.1 above.</w:t>
      </w:r>
    </w:p>
    <w:p>
      <w:pPr>
        <w:spacing w:after="80" w:before="0"/>
      </w:pPr>
    </w:p>
    <w:p>
      <w:pPr>
        <w:spacing w:after="120" w:before="80"/>
      </w:pPr>
      <w:r>
        <w:rPr>
          <w:rFonts w:ascii="Arial" w:cs="Arial" w:eastAsia="Arial" w:hAnsi="Arial"/>
          <w:color w:val="1A1A2E"/>
          <w:sz w:val="22"/>
          <w:szCs w:val="22"/>
        </w:rPr>
        <w:t xml:space="preserve">General enhancements, additional framework content, new tracker features, additional exercises, and community improvements are not separately priced premium products — these are platform updates included within Founding Member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is the highest-priority clause for the lawyer session. The founding member commitment was made to approximately 1,000 individuals via the waitlist prior to paid launch. The lawyer should: (1) confirm the legal basis and binding status of this commitment, (2) assess whether "free for life" constitutes an enforceable obligation and in what circumstances (if any) it could be limited, (3) review the distinction between included platform updates and excluded premium products to ensure the language is sufficiently clear to be defensible if challenged, and (4) advise on any circumstances in which the commitment could be extinguished — for example, if the platform ceases operation. This is question 1 on the lawyer briefing agenda.</w:t>
            </w:r>
          </w:p>
        </w:tc>
      </w:tr>
    </w:tbl>
    <w:p>
      <w:pPr>
        <w:spacing w:after="120" w:before="0"/>
      </w:pPr>
    </w:p>
    <w:p>
      <w:pPr>
        <w:pStyle w:val="Heading2"/>
        <w:spacing w:after="100" w:before="280"/>
      </w:pPr>
      <w:r>
        <w:rPr>
          <w:rFonts w:ascii="Arial" w:cs="Arial" w:eastAsia="Arial" w:hAnsi="Arial"/>
          <w:b/>
          <w:bCs/>
          <w:color w:val="2A7F7F"/>
          <w:sz w:val="24"/>
          <w:szCs w:val="24"/>
        </w:rPr>
        <w:t xml:space="preserve">5. Paid Membership — Subscription Terms</w:t>
      </w:r>
    </w:p>
    <w:p>
      <w:pPr>
        <w:spacing w:after="120" w:before="80"/>
      </w:pPr>
      <w:r>
        <w:rPr>
          <w:rFonts w:ascii="Arial" w:cs="Arial" w:eastAsia="Arial" w:hAnsi="Arial"/>
          <w:color w:val="1A1A2E"/>
          <w:sz w:val="22"/>
          <w:szCs w:val="22"/>
        </w:rPr>
        <w:t xml:space="preserve">Standard membership ("Paid Membership") is available by monthly subscription at £2.99 per month. Paid Membership provides the same access as Founding Member access as described in Section 4.1.</w:t>
      </w:r>
    </w:p>
    <w:p>
      <w:pPr>
        <w:spacing w:after="80" w:before="0"/>
      </w:pPr>
    </w:p>
    <w:p>
      <w:pPr>
        <w:pStyle w:val="Heading3"/>
        <w:spacing w:after="80" w:before="200"/>
      </w:pPr>
      <w:r>
        <w:rPr>
          <w:rFonts w:ascii="Arial" w:cs="Arial" w:eastAsia="Arial" w:hAnsi="Arial"/>
          <w:b/>
          <w:bCs/>
          <w:color w:val="1B3A5C"/>
          <w:sz w:val="22"/>
          <w:szCs w:val="22"/>
        </w:rPr>
        <w:t xml:space="preserve">5.1 Billing</w:t>
      </w:r>
    </w:p>
    <w:p>
      <w:pPr>
        <w:spacing w:after="120" w:before="80"/>
      </w:pPr>
      <w:r>
        <w:rPr>
          <w:rFonts w:ascii="Arial" w:cs="Arial" w:eastAsia="Arial" w:hAnsi="Arial"/>
          <w:color w:val="1A1A2E"/>
          <w:sz w:val="22"/>
          <w:szCs w:val="22"/>
        </w:rPr>
        <w:t xml:space="preserve">Membership fees are billed monthly in advance. Payment is processed by Stripe. By providing payment details you authorise us to charge the monthly fee on a recurring basis until your membership is cancelled.</w:t>
      </w:r>
    </w:p>
    <w:p>
      <w:pPr>
        <w:spacing w:after="80" w:before="0"/>
      </w:pPr>
    </w:p>
    <w:p>
      <w:pPr>
        <w:pStyle w:val="Heading3"/>
        <w:spacing w:after="80" w:before="200"/>
      </w:pPr>
      <w:r>
        <w:rPr>
          <w:rFonts w:ascii="Arial" w:cs="Arial" w:eastAsia="Arial" w:hAnsi="Arial"/>
          <w:b/>
          <w:bCs/>
          <w:color w:val="1B3A5C"/>
          <w:sz w:val="22"/>
          <w:szCs w:val="22"/>
        </w:rPr>
        <w:t xml:space="preserve">5.2 Cancellation</w:t>
      </w:r>
    </w:p>
    <w:p>
      <w:pPr>
        <w:spacing w:after="120" w:before="80"/>
      </w:pPr>
      <w:r>
        <w:rPr>
          <w:rFonts w:ascii="Arial" w:cs="Arial" w:eastAsia="Arial" w:hAnsi="Arial"/>
          <w:color w:val="1A1A2E"/>
          <w:sz w:val="22"/>
          <w:szCs w:val="22"/>
        </w:rPr>
        <w:t xml:space="preserve">You may cancel your Paid Membership at any time through your account settings. On cancellation, your access continues until the end of the current billing period. No partial refunds are issued for unused days within a billing period. After the billing period ends, your account is downgraded and access to premium features is removed.</w:t>
      </w:r>
    </w:p>
    <w:p>
      <w:pPr>
        <w:spacing w:after="80" w:before="0"/>
      </w:pPr>
    </w:p>
    <w:p>
      <w:pPr>
        <w:pStyle w:val="Heading3"/>
        <w:spacing w:after="80" w:before="200"/>
      </w:pPr>
      <w:r>
        <w:rPr>
          <w:rFonts w:ascii="Arial" w:cs="Arial" w:eastAsia="Arial" w:hAnsi="Arial"/>
          <w:b/>
          <w:bCs/>
          <w:color w:val="1B3A5C"/>
          <w:sz w:val="22"/>
          <w:szCs w:val="22"/>
        </w:rPr>
        <w:t xml:space="preserve">5.3 Price Changes</w:t>
      </w:r>
    </w:p>
    <w:p>
      <w:pPr>
        <w:spacing w:after="120" w:before="80"/>
      </w:pPr>
      <w:r>
        <w:rPr>
          <w:rFonts w:ascii="Arial" w:cs="Arial" w:eastAsia="Arial" w:hAnsi="Arial"/>
          <w:color w:val="1A1A2E"/>
          <w:sz w:val="22"/>
          <w:szCs w:val="22"/>
        </w:rPr>
        <w:t xml:space="preserve">We may change the membership price by giving you at least 30 days' written notice by email. If you do not cancel before the new price takes effect, your continued use of the Platform constitutes acceptance of the new price.</w:t>
      </w:r>
    </w:p>
    <w:p>
      <w:pPr>
        <w:spacing w:after="80" w:before="0"/>
      </w:pPr>
    </w:p>
    <w:p>
      <w:pPr>
        <w:pStyle w:val="Heading3"/>
        <w:spacing w:after="80" w:before="200"/>
      </w:pPr>
      <w:r>
        <w:rPr>
          <w:rFonts w:ascii="Arial" w:cs="Arial" w:eastAsia="Arial" w:hAnsi="Arial"/>
          <w:b/>
          <w:bCs/>
          <w:color w:val="1B3A5C"/>
          <w:sz w:val="22"/>
          <w:szCs w:val="22"/>
        </w:rPr>
        <w:t xml:space="preserve">5.4 Refunds</w:t>
      </w:r>
    </w:p>
    <w:p>
      <w:pPr>
        <w:spacing w:after="120" w:before="80"/>
      </w:pPr>
      <w:r>
        <w:rPr>
          <w:rFonts w:ascii="Arial" w:cs="Arial" w:eastAsia="Arial" w:hAnsi="Arial"/>
          <w:color w:val="1A1A2E"/>
          <w:sz w:val="22"/>
          <w:szCs w:val="22"/>
        </w:rPr>
        <w:t xml:space="preserve">We do not offer refunds except where required by applicable consumer law. If you believe you are entitled to a refund under applicable law, contact us at [EMAIL ADDRESS].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Review for compliance with the Consumer Rights Act 2015 and Consumer Contracts Regulations 2013, particularly the 14-day cancellation right for digital services where the service has not yet begun. The refund policy and cancellation terms should be checked against current consumer law requirements.</w:t>
            </w:r>
          </w:p>
        </w:tc>
      </w:tr>
    </w:tbl>
    <w:p>
      <w:pPr>
        <w:spacing w:after="120" w:before="0"/>
      </w:pPr>
    </w:p>
    <w:p>
      <w:pPr>
        <w:pStyle w:val="Heading2"/>
        <w:spacing w:after="100" w:before="280"/>
      </w:pPr>
      <w:r>
        <w:rPr>
          <w:rFonts w:ascii="Arial" w:cs="Arial" w:eastAsia="Arial" w:hAnsi="Arial"/>
          <w:b/>
          <w:bCs/>
          <w:color w:val="2A7F7F"/>
          <w:sz w:val="24"/>
          <w:szCs w:val="24"/>
        </w:rPr>
        <w:t xml:space="preserve">6. Health Data and Special Category Data</w:t>
      </w:r>
    </w:p>
    <w:p>
      <w:pPr>
        <w:spacing w:after="120" w:before="80"/>
      </w:pPr>
      <w:r>
        <w:rPr>
          <w:rFonts w:ascii="Arial" w:cs="Arial" w:eastAsia="Arial" w:hAnsi="Arial"/>
          <w:color w:val="1A1A2E"/>
          <w:sz w:val="22"/>
          <w:szCs w:val="22"/>
        </w:rPr>
        <w:t xml:space="preserve">The Platform collects and processes health data through your use of the self-assessment tools and the progress tracker. Health data — including tinnitus loudness scores, jaw tension, neck tension, stress levels, sleep quality, and self-assessment responses — constitutes "special category data" under UK GDPR and receives heightened protection.</w:t>
      </w:r>
    </w:p>
    <w:p>
      <w:pPr>
        <w:spacing w:after="80" w:before="0"/>
      </w:pPr>
    </w:p>
    <w:p>
      <w:pPr>
        <w:spacing w:after="120" w:before="80"/>
      </w:pPr>
      <w:r>
        <w:rPr>
          <w:rFonts w:ascii="Arial" w:cs="Arial" w:eastAsia="Arial" w:hAnsi="Arial"/>
          <w:color w:val="1A1A2E"/>
          <w:sz w:val="22"/>
          <w:szCs w:val="22"/>
        </w:rPr>
        <w:t xml:space="preserve">We collect and process your health data only with your explicit informed consent, given at the point of account creation. You may withdraw your consent at any time. Withdrawing consent does not affect the lawfulness of processing carried out before withdrawal. On withdrawal, we will stop processing your health data for the purpose for which consent was given. See Section 9 (Your Data Rights) for the process.</w:t>
      </w:r>
    </w:p>
    <w:p>
      <w:pPr>
        <w:spacing w:after="80" w:before="0"/>
      </w:pPr>
    </w:p>
    <w:p>
      <w:pPr>
        <w:spacing w:after="120" w:before="80"/>
      </w:pPr>
      <w:r>
        <w:rPr>
          <w:rFonts w:ascii="Arial" w:cs="Arial" w:eastAsia="Arial" w:hAnsi="Arial"/>
          <w:color w:val="1A1A2E"/>
          <w:sz w:val="22"/>
          <w:szCs w:val="22"/>
        </w:rPr>
        <w:t xml:space="preserve">We do not sell your health data. We do not share your identifiable health data with any third party except as required by law or as necessary to operate the Platform (for example, encrypted storage via our database provider).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section works in conjunction with Part B (GDPR Consent Flow) and Part C (ICO Registration). The full data handling documentation is in Part B of this document.</w:t>
            </w:r>
          </w:p>
        </w:tc>
      </w:tr>
    </w:tbl>
    <w:p>
      <w:pPr>
        <w:spacing w:after="120" w:before="0"/>
      </w:pPr>
    </w:p>
    <w:p>
      <w:pPr>
        <w:pStyle w:val="Heading2"/>
        <w:spacing w:after="100" w:before="280"/>
      </w:pPr>
      <w:r>
        <w:rPr>
          <w:rFonts w:ascii="Arial" w:cs="Arial" w:eastAsia="Arial" w:hAnsi="Arial"/>
          <w:b/>
          <w:bCs/>
          <w:color w:val="2A7F7F"/>
          <w:sz w:val="24"/>
          <w:szCs w:val="24"/>
        </w:rPr>
        <w:t xml:space="preserve">7. Research Data — Optional Consent</w:t>
      </w:r>
    </w:p>
    <w:p>
      <w:pPr>
        <w:spacing w:after="120" w:before="80"/>
      </w:pPr>
      <w:r>
        <w:rPr>
          <w:rFonts w:ascii="Arial" w:cs="Arial" w:eastAsia="Arial" w:hAnsi="Arial"/>
          <w:color w:val="1A1A2E"/>
          <w:sz w:val="22"/>
          <w:szCs w:val="22"/>
        </w:rPr>
        <w:t xml:space="preserve">Separately from the standard health data consent required to use the Platform, you may optionally consent to your anonymised progress data being used for research into somatic tinnitus. This consent is entirely voluntary. Declining or withdrawing it does not affect your access to any part of the Platform.</w:t>
      </w:r>
    </w:p>
    <w:p>
      <w:pPr>
        <w:spacing w:after="80" w:before="0"/>
      </w:pPr>
    </w:p>
    <w:p>
      <w:pPr>
        <w:spacing w:after="120" w:before="80"/>
      </w:pPr>
      <w:r>
        <w:rPr>
          <w:rFonts w:ascii="Arial" w:cs="Arial" w:eastAsia="Arial" w:hAnsi="Arial"/>
          <w:color w:val="1A1A2E"/>
          <w:sz w:val="22"/>
          <w:szCs w:val="22"/>
        </w:rPr>
        <w:t xml:space="preserve">If you give research consent, anonymised versions of your progress tracker data and self-assessment responses may be used to identify patterns, develop the somatic tinnitus framework, and support academic or independent research into somatic tinnitus. Data used for research purposes is fully anonymised before use — your name, email address, and any other personally identifying information is removed before any data is used for research.</w:t>
      </w:r>
    </w:p>
    <w:p>
      <w:pPr>
        <w:spacing w:after="80" w:before="0"/>
      </w:pPr>
    </w:p>
    <w:p>
      <w:pPr>
        <w:spacing w:after="120" w:before="80"/>
      </w:pPr>
      <w:r>
        <w:rPr>
          <w:rFonts w:ascii="Arial" w:cs="Arial" w:eastAsia="Arial" w:hAnsi="Arial"/>
          <w:color w:val="1A1A2E"/>
          <w:sz w:val="22"/>
          <w:szCs w:val="22"/>
        </w:rPr>
        <w:t xml:space="preserve">You may withdraw your research consent at any time through your account settings. Withdrawal of research consent does not affect your access to the Platform and does not result in deletion of your account data. Previously anonymised research data cannot be recalled after anonymisation, as it is no longer linked to your identity.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Research consent is separate and optional by design — it cannot be bundled with the terms acceptance or standard health data consent under UK GDPR. The exact consent checkpoint wording and placement in the onboarding journey is specified in Part B of this document. No specific research institution is named here: the consent is institution-agnostic and will serve as the basis for any future formal research collaboration.</w:t>
            </w:r>
          </w:p>
        </w:tc>
      </w:tr>
    </w:tbl>
    <w:p>
      <w:pPr>
        <w:spacing w:after="120" w:before="0"/>
      </w:pPr>
    </w:p>
    <w:p>
      <w:pPr>
        <w:pStyle w:val="Heading2"/>
        <w:spacing w:after="100" w:before="280"/>
      </w:pPr>
      <w:r>
        <w:rPr>
          <w:rFonts w:ascii="Arial" w:cs="Arial" w:eastAsia="Arial" w:hAnsi="Arial"/>
          <w:b/>
          <w:bCs/>
          <w:color w:val="2A7F7F"/>
          <w:sz w:val="24"/>
          <w:szCs w:val="24"/>
        </w:rPr>
        <w:t xml:space="preserve">8. Data Retention and Anonymisation on Deletion</w:t>
      </w:r>
    </w:p>
    <w:p>
      <w:pPr>
        <w:spacing w:after="120" w:before="80"/>
      </w:pPr>
      <w:r>
        <w:rPr>
          <w:rFonts w:ascii="Arial" w:cs="Arial" w:eastAsia="Arial" w:hAnsi="Arial"/>
          <w:color w:val="1A1A2E"/>
          <w:sz w:val="22"/>
          <w:szCs w:val="22"/>
        </w:rPr>
        <w:t xml:space="preserve">We retain your personal data for as long as your account is active. If you request deletion of your account:</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Your personally identifying information — name and email address — is permanently deleted from our systems.</w:t>
      </w:r>
    </w:p>
    <w:p>
      <w:pPr>
        <w:pStyle w:val="ListParagraph"/>
        <w:numPr>
          <w:ilvl w:val="0"/>
          <w:numId w:val="2"/>
        </w:numPr>
        <w:spacing w:after="60" w:before="60"/>
      </w:pPr>
      <w:r>
        <w:rPr>
          <w:rFonts w:ascii="Arial" w:cs="Arial" w:eastAsia="Arial" w:hAnsi="Arial"/>
          <w:b w:val="false"/>
          <w:bCs w:val="false"/>
          <w:color w:val="1A1A2E"/>
          <w:sz w:val="22"/>
          <w:szCs w:val="22"/>
        </w:rPr>
        <w:t xml:space="preserve">Your health data records (progress logs, self-assessment responses) are anonymised: the link between your identity and your health data is permanently severed by removing your identifying information. The anonymised health data rows may be retained.</w:t>
      </w:r>
    </w:p>
    <w:p>
      <w:pPr>
        <w:pStyle w:val="ListParagraph"/>
        <w:numPr>
          <w:ilvl w:val="0"/>
          <w:numId w:val="2"/>
        </w:numPr>
        <w:spacing w:after="60" w:before="60"/>
      </w:pPr>
      <w:r>
        <w:rPr>
          <w:rFonts w:ascii="Arial" w:cs="Arial" w:eastAsia="Arial" w:hAnsi="Arial"/>
          <w:b w:val="false"/>
          <w:bCs w:val="false"/>
          <w:color w:val="1A1A2E"/>
          <w:sz w:val="22"/>
          <w:szCs w:val="22"/>
        </w:rPr>
        <w:t xml:space="preserve">Your membership record is deleted.</w:t>
      </w:r>
    </w:p>
    <w:p>
      <w:pPr>
        <w:spacing w:after="80" w:before="0"/>
      </w:pPr>
    </w:p>
    <w:p>
      <w:pPr>
        <w:spacing w:after="120" w:before="80"/>
      </w:pPr>
      <w:r>
        <w:rPr>
          <w:rFonts w:ascii="Arial" w:cs="Arial" w:eastAsia="Arial" w:hAnsi="Arial"/>
          <w:color w:val="1A1A2E"/>
          <w:sz w:val="22"/>
          <w:szCs w:val="22"/>
        </w:rPr>
        <w:t xml:space="preserve">This approach reflects the architecture described in our Privacy Policy [LINK]. The anonymisation-on-deletion model means that data you have contributed cannot be traced back to you after deletion. If you require full deletion of all records including anonymised health data, contact us at [EMAIL ADDRESS] and we will action it within 30 days.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The anonymisation-on-deletion approach is a deliberate architectural decision (Document 7, Architecture Decision 5). The lawyer should confirm this satisfies the right to erasure under UK GDPR Article 17, particularly whether truly anonymised data falls outside the scope of personal data (and therefore outside the erasure obligation) once the link to identity is severed.</w:t>
            </w:r>
          </w:p>
        </w:tc>
      </w:tr>
    </w:tbl>
    <w:p>
      <w:pPr>
        <w:spacing w:after="120" w:before="0"/>
      </w:pPr>
    </w:p>
    <w:p>
      <w:pPr>
        <w:pStyle w:val="Heading2"/>
        <w:spacing w:after="100" w:before="280"/>
      </w:pPr>
      <w:r>
        <w:rPr>
          <w:rFonts w:ascii="Arial" w:cs="Arial" w:eastAsia="Arial" w:hAnsi="Arial"/>
          <w:b/>
          <w:bCs/>
          <w:color w:val="2A7F7F"/>
          <w:sz w:val="24"/>
          <w:szCs w:val="24"/>
        </w:rPr>
        <w:t xml:space="preserve">9. Your Data Rights</w:t>
      </w:r>
    </w:p>
    <w:p>
      <w:pPr>
        <w:spacing w:after="120" w:before="80"/>
      </w:pPr>
      <w:r>
        <w:rPr>
          <w:rFonts w:ascii="Arial" w:cs="Arial" w:eastAsia="Arial" w:hAnsi="Arial"/>
          <w:color w:val="1A1A2E"/>
          <w:sz w:val="22"/>
          <w:szCs w:val="22"/>
        </w:rPr>
        <w:t xml:space="preserve">Under UK GDPR you have the following rights regarding your personal data:</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Right to access — you may request a copy of the personal data we hold about you.</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rectification — you may request correction of inaccurate personal data.</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erasure — you may request deletion of your personal data, subject to Section 8.</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restrict processing — you may request that we limit how we use your data in certain circumstances.</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data portability — you may request your personal data in a structured, machine-readable format.</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withdraw consent — you may withdraw any consent given at any time without affecting the lawfulness of prior processing.</w:t>
      </w:r>
    </w:p>
    <w:p>
      <w:pPr>
        <w:pStyle w:val="ListParagraph"/>
        <w:numPr>
          <w:ilvl w:val="0"/>
          <w:numId w:val="2"/>
        </w:numPr>
        <w:spacing w:after="60" w:before="60"/>
      </w:pPr>
      <w:r>
        <w:rPr>
          <w:rFonts w:ascii="Arial" w:cs="Arial" w:eastAsia="Arial" w:hAnsi="Arial"/>
          <w:b w:val="false"/>
          <w:bCs w:val="false"/>
          <w:color w:val="1A1A2E"/>
          <w:sz w:val="22"/>
          <w:szCs w:val="22"/>
        </w:rPr>
        <w:t xml:space="preserve">Right to object — you may object to processing of your personal data in certain circumstances.</w:t>
      </w:r>
    </w:p>
    <w:p>
      <w:pPr>
        <w:spacing w:after="80" w:before="0"/>
      </w:pPr>
    </w:p>
    <w:p>
      <w:pPr>
        <w:spacing w:after="120" w:before="80"/>
      </w:pPr>
      <w:r>
        <w:rPr>
          <w:rFonts w:ascii="Arial" w:cs="Arial" w:eastAsia="Arial" w:hAnsi="Arial"/>
          <w:color w:val="1A1A2E"/>
          <w:sz w:val="22"/>
          <w:szCs w:val="22"/>
        </w:rPr>
        <w:t xml:space="preserve">To exercise any of these rights, contact us at [EMAIL ADDRESS]. We will respond within 30 days. You also have the right to lodge a complaint with the Information Commissioner's Office (ICO) at ico.org.uk.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ICO registration number to be inserted here once registration is complete. See Part C of this document for the registration prompt.</w:t>
            </w:r>
          </w:p>
        </w:tc>
      </w:tr>
    </w:tbl>
    <w:p>
      <w:pPr>
        <w:spacing w:after="120" w:before="0"/>
      </w:pPr>
    </w:p>
    <w:p>
      <w:pPr>
        <w:pStyle w:val="Heading2"/>
        <w:spacing w:after="100" w:before="280"/>
      </w:pPr>
      <w:r>
        <w:rPr>
          <w:rFonts w:ascii="Arial" w:cs="Arial" w:eastAsia="Arial" w:hAnsi="Arial"/>
          <w:b/>
          <w:bCs/>
          <w:color w:val="2A7F7F"/>
          <w:sz w:val="24"/>
          <w:szCs w:val="24"/>
        </w:rPr>
        <w:t xml:space="preserve">10. Limitation of Liability</w:t>
      </w:r>
    </w:p>
    <w:p>
      <w:pPr>
        <w:spacing w:after="120" w:before="80"/>
      </w:pPr>
      <w:r>
        <w:rPr>
          <w:rFonts w:ascii="Arial" w:cs="Arial" w:eastAsia="Arial" w:hAnsi="Arial"/>
          <w:color w:val="1A1A2E"/>
          <w:sz w:val="22"/>
          <w:szCs w:val="22"/>
        </w:rPr>
        <w:t xml:space="preserve">To the fullest extent permitted by applicable law:</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We provide the Platform and all content on an "as is" and "as available" basis without warranties of any kind, express or implied.</w:t>
      </w:r>
    </w:p>
    <w:p>
      <w:pPr>
        <w:pStyle w:val="ListParagraph"/>
        <w:numPr>
          <w:ilvl w:val="0"/>
          <w:numId w:val="2"/>
        </w:numPr>
        <w:spacing w:after="60" w:before="60"/>
      </w:pPr>
      <w:r>
        <w:rPr>
          <w:rFonts w:ascii="Arial" w:cs="Arial" w:eastAsia="Arial" w:hAnsi="Arial"/>
          <w:b w:val="false"/>
          <w:bCs w:val="false"/>
          <w:color w:val="1A1A2E"/>
          <w:sz w:val="22"/>
          <w:szCs w:val="22"/>
        </w:rPr>
        <w:t xml:space="preserve">We make no representations that the Platform, the framework, the exercises, or the self-assessment tools will produce any particular outcome for any individual.</w:t>
      </w:r>
    </w:p>
    <w:p>
      <w:pPr>
        <w:pStyle w:val="ListParagraph"/>
        <w:numPr>
          <w:ilvl w:val="0"/>
          <w:numId w:val="2"/>
        </w:numPr>
        <w:spacing w:after="60" w:before="60"/>
      </w:pPr>
      <w:r>
        <w:rPr>
          <w:rFonts w:ascii="Arial" w:cs="Arial" w:eastAsia="Arial" w:hAnsi="Arial"/>
          <w:b w:val="false"/>
          <w:bCs w:val="false"/>
          <w:color w:val="1A1A2E"/>
          <w:sz w:val="22"/>
          <w:szCs w:val="22"/>
        </w:rPr>
        <w:t xml:space="preserve">We are not liable for any health outcome, physical injury, or deterioration of your condition resulting from your use of the Platform or your application of framework guidance.</w:t>
      </w:r>
    </w:p>
    <w:p>
      <w:pPr>
        <w:pStyle w:val="ListParagraph"/>
        <w:numPr>
          <w:ilvl w:val="0"/>
          <w:numId w:val="2"/>
        </w:numPr>
        <w:spacing w:after="60" w:before="60"/>
      </w:pPr>
      <w:r>
        <w:rPr>
          <w:rFonts w:ascii="Arial" w:cs="Arial" w:eastAsia="Arial" w:hAnsi="Arial"/>
          <w:b w:val="false"/>
          <w:bCs w:val="false"/>
          <w:color w:val="1A1A2E"/>
          <w:sz w:val="22"/>
          <w:szCs w:val="22"/>
        </w:rPr>
        <w:t xml:space="preserve">Our total liability to you for any claim arising from your use of the Platform is limited to the total amount paid by you in the 12 months preceding the claim (or £0 for Founding Members).</w:t>
      </w:r>
    </w:p>
    <w:p>
      <w:pPr>
        <w:pStyle w:val="ListParagraph"/>
        <w:numPr>
          <w:ilvl w:val="0"/>
          <w:numId w:val="2"/>
        </w:numPr>
        <w:spacing w:after="60" w:before="60"/>
      </w:pPr>
      <w:r>
        <w:rPr>
          <w:rFonts w:ascii="Arial" w:cs="Arial" w:eastAsia="Arial" w:hAnsi="Arial"/>
          <w:b w:val="false"/>
          <w:bCs w:val="false"/>
          <w:color w:val="1A1A2E"/>
          <w:sz w:val="22"/>
          <w:szCs w:val="22"/>
        </w:rPr>
        <w:t xml:space="preserve">We are not liable for indirect, consequential, incidental, or punitive damages of any kind.</w:t>
      </w:r>
    </w:p>
    <w:p>
      <w:pPr>
        <w:spacing w:after="80" w:before="0"/>
      </w:pPr>
    </w:p>
    <w:p>
      <w:pPr>
        <w:spacing w:after="120" w:before="80"/>
      </w:pPr>
      <w:r>
        <w:rPr>
          <w:rFonts w:ascii="Arial" w:cs="Arial" w:eastAsia="Arial" w:hAnsi="Arial"/>
          <w:color w:val="1A1A2E"/>
          <w:sz w:val="22"/>
          <w:szCs w:val="22"/>
        </w:rPr>
        <w:t xml:space="preserve">Nothing in these terms limits our liability for death or personal injury caused by our negligence, fraud, or any other liability that cannot be excluded by law.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clause requires careful review against the Unfair Contract Terms Act 1977 and the Consumer Rights Act 2015. Blanket liability exclusions are not enforceable against consumers in all circumstances under UK consumer law. The lawyer should advise on the scope of what can lawfully be excluded, and specifically review the health outcome exclusion given that the platform delivers a structured physical intervention protocol. This is question 3 on the lawyer briefing agenda.</w:t>
            </w:r>
          </w:p>
        </w:tc>
      </w:tr>
    </w:tbl>
    <w:p>
      <w:pPr>
        <w:spacing w:after="120" w:before="0"/>
      </w:pPr>
    </w:p>
    <w:p>
      <w:pPr>
        <w:pStyle w:val="Heading2"/>
        <w:spacing w:after="100" w:before="280"/>
      </w:pPr>
      <w:r>
        <w:rPr>
          <w:rFonts w:ascii="Arial" w:cs="Arial" w:eastAsia="Arial" w:hAnsi="Arial"/>
          <w:b/>
          <w:bCs/>
          <w:color w:val="2A7F7F"/>
          <w:sz w:val="24"/>
          <w:szCs w:val="24"/>
        </w:rPr>
        <w:t xml:space="preserve">11. User Conduct</w:t>
      </w:r>
    </w:p>
    <w:p>
      <w:pPr>
        <w:spacing w:after="120" w:before="80"/>
      </w:pPr>
      <w:r>
        <w:rPr>
          <w:rFonts w:ascii="Arial" w:cs="Arial" w:eastAsia="Arial" w:hAnsi="Arial"/>
          <w:color w:val="1A1A2E"/>
          <w:sz w:val="22"/>
          <w:szCs w:val="22"/>
        </w:rPr>
        <w:t xml:space="preserve">By using the Platform you agree not to:</w:t>
      </w:r>
    </w:p>
    <w:p>
      <w:pPr>
        <w:spacing w:after="80" w:before="0"/>
      </w:pPr>
    </w:p>
    <w:p>
      <w:pPr>
        <w:pStyle w:val="ListParagraph"/>
        <w:numPr>
          <w:ilvl w:val="0"/>
          <w:numId w:val="2"/>
        </w:numPr>
        <w:spacing w:after="60" w:before="60"/>
      </w:pPr>
      <w:r>
        <w:rPr>
          <w:rFonts w:ascii="Arial" w:cs="Arial" w:eastAsia="Arial" w:hAnsi="Arial"/>
          <w:b w:val="false"/>
          <w:bCs w:val="false"/>
          <w:color w:val="1A1A2E"/>
          <w:sz w:val="22"/>
          <w:szCs w:val="22"/>
        </w:rPr>
        <w:t xml:space="preserve">Share your account credentials or allow others to access your account.</w:t>
      </w:r>
    </w:p>
    <w:p>
      <w:pPr>
        <w:pStyle w:val="ListParagraph"/>
        <w:numPr>
          <w:ilvl w:val="0"/>
          <w:numId w:val="2"/>
        </w:numPr>
        <w:spacing w:after="60" w:before="60"/>
      </w:pPr>
      <w:r>
        <w:rPr>
          <w:rFonts w:ascii="Arial" w:cs="Arial" w:eastAsia="Arial" w:hAnsi="Arial"/>
          <w:b w:val="false"/>
          <w:bCs w:val="false"/>
          <w:color w:val="1A1A2E"/>
          <w:sz w:val="22"/>
          <w:szCs w:val="22"/>
        </w:rPr>
        <w:t xml:space="preserve">Post content in the community that is harmful, threatening, abusive, defamatory, or that infringes any third-party rights.</w:t>
      </w:r>
    </w:p>
    <w:p>
      <w:pPr>
        <w:pStyle w:val="ListParagraph"/>
        <w:numPr>
          <w:ilvl w:val="0"/>
          <w:numId w:val="2"/>
        </w:numPr>
        <w:spacing w:after="60" w:before="60"/>
      </w:pPr>
      <w:r>
        <w:rPr>
          <w:rFonts w:ascii="Arial" w:cs="Arial" w:eastAsia="Arial" w:hAnsi="Arial"/>
          <w:b w:val="false"/>
          <w:bCs w:val="false"/>
          <w:color w:val="1A1A2E"/>
          <w:sz w:val="22"/>
          <w:szCs w:val="22"/>
        </w:rPr>
        <w:t xml:space="preserve">Attempt to access, scrape, or extract data from the Platform by automated means.</w:t>
      </w:r>
    </w:p>
    <w:p>
      <w:pPr>
        <w:pStyle w:val="ListParagraph"/>
        <w:numPr>
          <w:ilvl w:val="0"/>
          <w:numId w:val="2"/>
        </w:numPr>
        <w:spacing w:after="60" w:before="60"/>
      </w:pPr>
      <w:r>
        <w:rPr>
          <w:rFonts w:ascii="Arial" w:cs="Arial" w:eastAsia="Arial" w:hAnsi="Arial"/>
          <w:b w:val="false"/>
          <w:bCs w:val="false"/>
          <w:color w:val="1A1A2E"/>
          <w:sz w:val="22"/>
          <w:szCs w:val="22"/>
        </w:rPr>
        <w:t xml:space="preserve">Attempt to circumvent the Platform's access controls or security measures.</w:t>
      </w:r>
    </w:p>
    <w:p>
      <w:pPr>
        <w:pStyle w:val="ListParagraph"/>
        <w:numPr>
          <w:ilvl w:val="0"/>
          <w:numId w:val="2"/>
        </w:numPr>
        <w:spacing w:after="60" w:before="60"/>
      </w:pPr>
      <w:r>
        <w:rPr>
          <w:rFonts w:ascii="Arial" w:cs="Arial" w:eastAsia="Arial" w:hAnsi="Arial"/>
          <w:b w:val="false"/>
          <w:bCs w:val="false"/>
          <w:color w:val="1A1A2E"/>
          <w:sz w:val="22"/>
          <w:szCs w:val="22"/>
        </w:rPr>
        <w:t xml:space="preserve">Misrepresent your identity or impersonate any other person.</w:t>
      </w:r>
    </w:p>
    <w:p>
      <w:pPr>
        <w:spacing w:after="80" w:before="0"/>
      </w:pPr>
    </w:p>
    <w:p>
      <w:pPr>
        <w:spacing w:after="120" w:before="80"/>
      </w:pPr>
      <w:r>
        <w:rPr>
          <w:rFonts w:ascii="Arial" w:cs="Arial" w:eastAsia="Arial" w:hAnsi="Arial"/>
          <w:color w:val="1A1A2E"/>
          <w:sz w:val="22"/>
          <w:szCs w:val="22"/>
        </w:rPr>
        <w:t xml:space="preserve">We reserve the right to suspend or terminate accounts that breach these conduct requirements without refund of any prepaid subscription fees.</w:t>
      </w:r>
    </w:p>
    <w:p>
      <w:pPr>
        <w:spacing w:after="120" w:before="0"/>
      </w:pPr>
    </w:p>
    <w:p>
      <w:pPr>
        <w:pStyle w:val="Heading2"/>
        <w:spacing w:after="100" w:before="280"/>
      </w:pPr>
      <w:r>
        <w:rPr>
          <w:rFonts w:ascii="Arial" w:cs="Arial" w:eastAsia="Arial" w:hAnsi="Arial"/>
          <w:b/>
          <w:bCs/>
          <w:color w:val="2A7F7F"/>
          <w:sz w:val="24"/>
          <w:szCs w:val="24"/>
        </w:rPr>
        <w:t xml:space="preserve">12. Intellectual Property</w:t>
      </w:r>
    </w:p>
    <w:p>
      <w:pPr>
        <w:spacing w:after="120" w:before="80"/>
      </w:pPr>
      <w:r>
        <w:rPr>
          <w:rFonts w:ascii="Arial" w:cs="Arial" w:eastAsia="Arial" w:hAnsi="Arial"/>
          <w:color w:val="1A1A2E"/>
          <w:sz w:val="22"/>
          <w:szCs w:val="22"/>
        </w:rPr>
        <w:t xml:space="preserve">All content on the Platform — including the somatic tinnitus framework, exercise descriptions, mechanism explanations, self-assessment tools, scoring methodology, written content, and visual design — is owned by or licensed to The Somatic Tinnitus Project and is protected by copyright and other intellectual property rights.</w:t>
      </w:r>
    </w:p>
    <w:p>
      <w:pPr>
        <w:spacing w:after="80" w:before="0"/>
      </w:pPr>
    </w:p>
    <w:p>
      <w:pPr>
        <w:spacing w:after="120" w:before="80"/>
      </w:pPr>
      <w:r>
        <w:rPr>
          <w:rFonts w:ascii="Arial" w:cs="Arial" w:eastAsia="Arial" w:hAnsi="Arial"/>
          <w:color w:val="1A1A2E"/>
          <w:sz w:val="22"/>
          <w:szCs w:val="22"/>
        </w:rPr>
        <w:t xml:space="preserve">You may access and use Platform content for your personal, non-commercial use only. You may not reproduce, distribute, adapt, or create derivative works from any Platform content without our prior written consent.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If "The Somatic Tinnitus Project" is to be trademarked, this should happen before or shortly after paid launch. See Part D (Lawyer Briefing) for the trademark question. This clause should be reviewed once trademark status is confirmed.</w:t>
            </w:r>
          </w:p>
        </w:tc>
      </w:tr>
    </w:tbl>
    <w:p>
      <w:pPr>
        <w:spacing w:after="120" w:before="0"/>
      </w:pPr>
    </w:p>
    <w:p>
      <w:pPr>
        <w:pStyle w:val="Heading2"/>
        <w:spacing w:after="100" w:before="280"/>
      </w:pPr>
      <w:r>
        <w:rPr>
          <w:rFonts w:ascii="Arial" w:cs="Arial" w:eastAsia="Arial" w:hAnsi="Arial"/>
          <w:b/>
          <w:bCs/>
          <w:color w:val="2A7F7F"/>
          <w:sz w:val="24"/>
          <w:szCs w:val="24"/>
        </w:rPr>
        <w:t xml:space="preserve">13. Minimum Age</w:t>
      </w:r>
    </w:p>
    <w:p>
      <w:pPr>
        <w:spacing w:after="120" w:before="80"/>
      </w:pPr>
      <w:r>
        <w:rPr>
          <w:rFonts w:ascii="Arial" w:cs="Arial" w:eastAsia="Arial" w:hAnsi="Arial"/>
          <w:color w:val="1A1A2E"/>
          <w:sz w:val="22"/>
          <w:szCs w:val="22"/>
        </w:rPr>
        <w:t xml:space="preserve">The Platform is intended for users aged 18 and over. By creating an account, you confirm that you are at least 18 years of age. If we become aware that an account has been created by a person under 18, we reserve the right to suspend or delete that account.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The minimum age of 18 is a recommendation based on the nature of the health data collected. The lawyer should confirm whether 18 is appropriate or whether a different threshold applies, and whether parental consent mechanisms are required for any lower age threshold. The founding member cohort is understood to be predominantly adult. This is flagged in the lawyer briefing as a secondary agenda item.</w:t>
            </w:r>
          </w:p>
        </w:tc>
      </w:tr>
    </w:tbl>
    <w:p>
      <w:pPr>
        <w:spacing w:after="120" w:before="0"/>
      </w:pPr>
    </w:p>
    <w:p>
      <w:pPr>
        <w:pStyle w:val="Heading2"/>
        <w:spacing w:after="100" w:before="280"/>
      </w:pPr>
      <w:r>
        <w:rPr>
          <w:rFonts w:ascii="Arial" w:cs="Arial" w:eastAsia="Arial" w:hAnsi="Arial"/>
          <w:b/>
          <w:bCs/>
          <w:color w:val="2A7F7F"/>
          <w:sz w:val="24"/>
          <w:szCs w:val="24"/>
        </w:rPr>
        <w:t xml:space="preserve">14. Changes to These Terms</w:t>
      </w:r>
    </w:p>
    <w:p>
      <w:pPr>
        <w:spacing w:after="120" w:before="80"/>
      </w:pPr>
      <w:r>
        <w:rPr>
          <w:rFonts w:ascii="Arial" w:cs="Arial" w:eastAsia="Arial" w:hAnsi="Arial"/>
          <w:color w:val="1A1A2E"/>
          <w:sz w:val="22"/>
          <w:szCs w:val="22"/>
        </w:rPr>
        <w:t xml:space="preserve">We may update these terms from time to time. Where changes are material, we will notify you by email at least 14 days before the changes take effect. Your continued use of the Platform after that date constitutes acceptance of the updated terms. If you do not accept the updated terms, you may cancel your membership before they take effect.</w:t>
      </w:r>
    </w:p>
    <w:p>
      <w:pPr>
        <w:spacing w:after="80" w:before="0"/>
      </w:pPr>
    </w:p>
    <w:p>
      <w:pPr>
        <w:spacing w:after="120" w:before="80"/>
      </w:pPr>
      <w:r>
        <w:rPr>
          <w:rFonts w:ascii="Arial" w:cs="Arial" w:eastAsia="Arial" w:hAnsi="Arial"/>
          <w:color w:val="1A1A2E"/>
          <w:sz w:val="22"/>
          <w:szCs w:val="22"/>
        </w:rPr>
        <w:t xml:space="preserve">The current version of these terms is always available at [URL].</w:t>
      </w:r>
    </w:p>
    <w:p>
      <w:pPr>
        <w:spacing w:after="120" w:before="0"/>
      </w:pPr>
    </w:p>
    <w:p>
      <w:pPr>
        <w:pStyle w:val="Heading2"/>
        <w:spacing w:after="100" w:before="280"/>
      </w:pPr>
      <w:r>
        <w:rPr>
          <w:rFonts w:ascii="Arial" w:cs="Arial" w:eastAsia="Arial" w:hAnsi="Arial"/>
          <w:b/>
          <w:bCs/>
          <w:color w:val="2A7F7F"/>
          <w:sz w:val="24"/>
          <w:szCs w:val="24"/>
        </w:rPr>
        <w:t xml:space="preserve">15. Governing Law</w:t>
      </w:r>
    </w:p>
    <w:p>
      <w:pPr>
        <w:spacing w:after="120" w:before="80"/>
      </w:pPr>
      <w:r>
        <w:rPr>
          <w:rFonts w:ascii="Arial" w:cs="Arial" w:eastAsia="Arial" w:hAnsi="Arial"/>
          <w:color w:val="1A1A2E"/>
          <w:sz w:val="22"/>
          <w:szCs w:val="22"/>
        </w:rPr>
        <w:t xml:space="preserve">These terms are governed by the laws of England and Wales. Any dispute arising from your use of the Platform shall be subject to the exclusive jurisdiction of the courts of England and Wales.</w:t>
      </w:r>
    </w:p>
    <w:p>
      <w:pPr>
        <w:spacing w:after="120" w:before="0"/>
      </w:pPr>
    </w:p>
    <w:p>
      <w:pPr>
        <w:pStyle w:val="Heading2"/>
        <w:spacing w:after="100" w:before="280"/>
      </w:pPr>
      <w:r>
        <w:rPr>
          <w:rFonts w:ascii="Arial" w:cs="Arial" w:eastAsia="Arial" w:hAnsi="Arial"/>
          <w:b/>
          <w:bCs/>
          <w:color w:val="2A7F7F"/>
          <w:sz w:val="24"/>
          <w:szCs w:val="24"/>
        </w:rPr>
        <w:t xml:space="preserve">16. Contact</w:t>
      </w:r>
    </w:p>
    <w:p>
      <w:pPr>
        <w:spacing w:after="120" w:before="80"/>
      </w:pPr>
      <w:r>
        <w:rPr>
          <w:rFonts w:ascii="Arial" w:cs="Arial" w:eastAsia="Arial" w:hAnsi="Arial"/>
          <w:color w:val="1A1A2E"/>
          <w:sz w:val="22"/>
          <w:szCs w:val="22"/>
        </w:rPr>
        <w:t xml:space="preserve">For any questions about these terms, your data, or your membership, contact us at:</w:t>
      </w:r>
    </w:p>
    <w:p>
      <w:pPr>
        <w:spacing w:after="80" w:before="0"/>
      </w:pPr>
    </w:p>
    <w:p>
      <w:pPr>
        <w:spacing w:after="120" w:before="80"/>
      </w:pPr>
      <w:r>
        <w:rPr>
          <w:rFonts w:ascii="Arial" w:cs="Arial" w:eastAsia="Arial" w:hAnsi="Arial"/>
          <w:color w:val="1A1A2E"/>
          <w:sz w:val="22"/>
          <w:szCs w:val="22"/>
        </w:rPr>
        <w:t xml:space="preserve">[EMAIL ADDRESS]</w:t>
      </w:r>
    </w:p>
    <w:p>
      <w:pPr>
        <w:spacing w:after="120" w:before="80"/>
      </w:pPr>
      <w:r>
        <w:rPr>
          <w:rFonts w:ascii="Arial" w:cs="Arial" w:eastAsia="Arial" w:hAnsi="Arial"/>
          <w:color w:val="1A1A2E"/>
          <w:sz w:val="22"/>
          <w:szCs w:val="22"/>
        </w:rPr>
        <w:t xml:space="preserve">[POSTAL ADDRESS IF REQUIRED]</w:t>
      </w:r>
    </w:p>
    <w:p>
      <w:pPr>
        <w:spacing w:after="200" w:before="0"/>
      </w:pPr>
    </w:p>
    <w:p>
      <w:r>
        <w:br w:type="page"/>
      </w:r>
    </w:p>
    <w:p>
      <w:pPr>
        <w:spacing w:after="80" w:before="0"/>
      </w:pPr>
      <w:r>
        <w:rPr>
          <w:rFonts w:ascii="Arial" w:cs="Arial" w:eastAsia="Arial" w:hAnsi="Arial"/>
          <w:b/>
          <w:bCs/>
          <w:color w:val="2A7F7F"/>
          <w:sz w:val="20"/>
          <w:szCs w:val="20"/>
        </w:rPr>
        <w:t xml:space="preserve">PART B</w:t>
      </w:r>
    </w:p>
    <w:p>
      <w:pPr>
        <w:pStyle w:val="Heading1"/>
        <w:spacing w:after="120" w:before="360"/>
      </w:pPr>
      <w:r>
        <w:rPr>
          <w:rFonts w:ascii="Arial" w:cs="Arial" w:eastAsia="Arial" w:hAnsi="Arial"/>
          <w:b/>
          <w:bCs/>
          <w:color w:val="1B3A5C"/>
          <w:sz w:val="28"/>
          <w:szCs w:val="28"/>
        </w:rPr>
        <w:t xml:space="preserve">GDPR Consent Flow</w:t>
      </w:r>
    </w:p>
    <w:p>
      <w:pPr>
        <w:spacing w:after="120" w:before="80"/>
      </w:pPr>
      <w:r>
        <w:rPr>
          <w:rFonts w:ascii="Arial" w:cs="Arial" w:eastAsia="Arial" w:hAnsi="Arial"/>
          <w:color w:val="1A1A2E"/>
          <w:sz w:val="22"/>
          <w:szCs w:val="22"/>
        </w:rPr>
        <w:t xml:space="preserve">Mapped to the onboarding journey — exact consent checkpoint wording and data handling decisions.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This section resolves every GDPR consent decision before the onboarding flow is built. The consent checkpoints below map directly to what the developer (Claude Code) builds into the onboarding UI. Nothing here should be built around — it should be built to exactly.</w:t>
            </w:r>
          </w:p>
        </w:tc>
      </w:tr>
    </w:tbl>
    <w:p>
      <w:pPr>
        <w:spacing w:after="160" w:before="0"/>
      </w:pPr>
    </w:p>
    <w:p>
      <w:pPr>
        <w:pStyle w:val="Heading2"/>
        <w:spacing w:after="100" w:before="280"/>
      </w:pPr>
      <w:r>
        <w:rPr>
          <w:rFonts w:ascii="Arial" w:cs="Arial" w:eastAsia="Arial" w:hAnsi="Arial"/>
          <w:b/>
          <w:bCs/>
          <w:color w:val="2A7F7F"/>
          <w:sz w:val="24"/>
          <w:szCs w:val="24"/>
        </w:rPr>
        <w:t xml:space="preserve">B1. Overview — Three Distinct Consent Moments</w:t>
      </w:r>
    </w:p>
    <w:p>
      <w:pPr>
        <w:spacing w:after="120" w:before="80"/>
      </w:pPr>
      <w:r>
        <w:rPr>
          <w:rFonts w:ascii="Arial" w:cs="Arial" w:eastAsia="Arial" w:hAnsi="Arial"/>
          <w:color w:val="1A1A2E"/>
          <w:sz w:val="22"/>
          <w:szCs w:val="22"/>
        </w:rPr>
        <w:t xml:space="preserve">The onboarding journey contains three distinct consent moments. They are presented separately and in this order. They are never bundled into a single checkbox.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Consent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Terms of Service and Privacy Policy acceptance. REQUIRED. Cannot create account without this.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Consent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Explicit health data consent (special category data under UK GDPR Article 9). REQUIRED to use the assessment tools and progress tracker.</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Consent 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Optional research consent. OPTIONAL. Declining has no effect on account access or features.</w:t>
            </w:r>
          </w:p>
        </w:tc>
      </w:tr>
    </w:tbl>
    <w:p>
      <w:pPr>
        <w:spacing w:after="160" w:before="0"/>
      </w:pPr>
    </w:p>
    <w:p>
      <w:pPr>
        <w:pStyle w:val="Heading2"/>
        <w:spacing w:after="100" w:before="280"/>
      </w:pPr>
      <w:r>
        <w:rPr>
          <w:rFonts w:ascii="Arial" w:cs="Arial" w:eastAsia="Arial" w:hAnsi="Arial"/>
          <w:b/>
          <w:bCs/>
          <w:color w:val="2A7F7F"/>
          <w:sz w:val="24"/>
          <w:szCs w:val="24"/>
        </w:rPr>
        <w:t xml:space="preserve">B2. Onboarding Journey — Consent Checkpoint Map</w:t>
      </w:r>
    </w:p>
    <w:p>
      <w:pPr>
        <w:spacing w:after="80" w:before="0"/>
      </w:pPr>
    </w:p>
    <w:p>
      <w:pPr>
        <w:spacing w:after="120" w:before="80"/>
      </w:pPr>
      <w:r>
        <w:rPr>
          <w:rFonts w:ascii="Arial" w:cs="Arial" w:eastAsia="Arial" w:hAnsi="Arial"/>
          <w:b/>
          <w:bCs/>
          <w:color w:val="1A1A2E"/>
          <w:sz w:val="22"/>
          <w:szCs w:val="22"/>
        </w:rPr>
        <w:t xml:space="preserve">Step 1 — Account creation screen</w:t>
      </w:r>
    </w:p>
    <w:p>
      <w:pPr>
        <w:spacing w:after="120" w:before="80"/>
      </w:pPr>
      <w:r>
        <w:rPr>
          <w:rFonts w:ascii="Arial" w:cs="Arial" w:eastAsia="Arial" w:hAnsi="Arial"/>
          <w:color w:val="1A1A2E"/>
          <w:sz w:val="22"/>
          <w:szCs w:val="22"/>
        </w:rPr>
        <w:t xml:space="preserve">User enters display name, email, and password. Below the "Create Account" button: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 REQUIRED
Consent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18"/>
                <w:szCs w:val="18"/>
              </w:rPr>
              <w:t xml:space="preserve">Exact checkbox wording:</w:t>
            </w:r>
          </w:p>
          <w:p>
            <w:pPr>
              <w:spacing w:after="60" w:before="0"/>
            </w:pPr>
          </w:p>
          <w:p>
            <w:r>
              <w:rPr>
                <w:rFonts w:ascii="Arial" w:cs="Arial" w:eastAsia="Arial" w:hAnsi="Arial"/>
                <w:color w:val="1A1A2E"/>
                <w:sz w:val="20"/>
                <w:szCs w:val="20"/>
              </w:rPr>
              <w:t xml:space="preserve">I have read and agree to the Terms of Service and Privacy Policy. I understand that The Somatic Tinnitus Project is an educational platform and does not provide medical advice or diagnosis.</w:t>
            </w:r>
          </w:p>
          <w:p>
            <w:pPr>
              <w:spacing w:after="60" w:before="0"/>
            </w:pPr>
          </w:p>
          <w:p>
            <w:r>
              <w:rPr>
                <w:rFonts w:ascii="Arial" w:cs="Arial" w:eastAsia="Arial" w:hAnsi="Arial"/>
                <w:i/>
                <w:iCs/>
                <w:color w:val="95A5A6"/>
                <w:sz w:val="18"/>
                <w:szCs w:val="18"/>
              </w:rPr>
              <w:t xml:space="preserve">Hyperlinked: "Terms of Service" and "Privacy Policy" open in new tab. Checkbox unchecked by default. "Create Account" button disabled until checked.</w:t>
            </w:r>
          </w:p>
        </w:tc>
      </w:tr>
    </w:tbl>
    <w:p>
      <w:pPr>
        <w:spacing w:after="160" w:before="0"/>
      </w:pPr>
    </w:p>
    <w:p>
      <w:pPr>
        <w:spacing w:after="120" w:before="80"/>
      </w:pPr>
      <w:r>
        <w:rPr>
          <w:rFonts w:ascii="Arial" w:cs="Arial" w:eastAsia="Arial" w:hAnsi="Arial"/>
          <w:b/>
          <w:bCs/>
          <w:color w:val="1A1A2E"/>
          <w:sz w:val="22"/>
          <w:szCs w:val="22"/>
        </w:rPr>
        <w:t xml:space="preserve">Step 2 — Post-account-creation, pre-intake-test screen</w:t>
      </w:r>
    </w:p>
    <w:p>
      <w:pPr>
        <w:spacing w:after="120" w:before="80"/>
      </w:pPr>
      <w:r>
        <w:rPr>
          <w:rFonts w:ascii="Arial" w:cs="Arial" w:eastAsia="Arial" w:hAnsi="Arial"/>
          <w:color w:val="1A1A2E"/>
          <w:sz w:val="22"/>
          <w:szCs w:val="22"/>
        </w:rPr>
        <w:t xml:space="preserve">Immediately after account creation, before the intake test is shown. Full screen or modal. User cannot proceed to the test without completing this step.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 REQUIRED
Consent 2
Health Data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18"/>
                <w:szCs w:val="18"/>
              </w:rPr>
              <w:t xml:space="preserve">Screen heading:</w:t>
            </w:r>
          </w:p>
          <w:p>
            <w:r>
              <w:rPr>
                <w:rFonts w:ascii="Arial" w:cs="Arial" w:eastAsia="Arial" w:hAnsi="Arial"/>
                <w:b/>
                <w:bCs/>
                <w:color w:val="1B3A5C"/>
                <w:sz w:val="22"/>
                <w:szCs w:val="22"/>
              </w:rPr>
              <w:t xml:space="preserve">Before we begin — a note on your health data</w:t>
            </w:r>
          </w:p>
          <w:p>
            <w:pPr>
              <w:spacing w:after="80" w:before="0"/>
            </w:pPr>
          </w:p>
          <w:p>
            <w:r>
              <w:rPr>
                <w:rFonts w:ascii="Arial" w:cs="Arial" w:eastAsia="Arial" w:hAnsi="Arial"/>
                <w:b/>
                <w:bCs/>
                <w:color w:val="95A5A6"/>
                <w:sz w:val="18"/>
                <w:szCs w:val="18"/>
              </w:rPr>
              <w:t xml:space="preserve">Screen body text:</w:t>
            </w:r>
          </w:p>
          <w:p>
            <w:r>
              <w:rPr>
                <w:rFonts w:ascii="Arial" w:cs="Arial" w:eastAsia="Arial" w:hAnsi="Arial"/>
                <w:color w:val="1A1A2E"/>
                <w:sz w:val="20"/>
                <w:szCs w:val="20"/>
              </w:rPr>
              <w:t xml:space="preserve">To use the intake assessment and progress tracker, we need to collect information about your tinnitus and physical symptoms. This is health data — a category of personal data that receives extra protection under data protection law.</w:t>
            </w:r>
          </w:p>
          <w:p>
            <w:pPr>
              <w:spacing w:after="60" w:before="0"/>
            </w:pPr>
          </w:p>
          <w:p>
            <w:r>
              <w:rPr>
                <w:rFonts w:ascii="Arial" w:cs="Arial" w:eastAsia="Arial" w:hAnsi="Arial"/>
                <w:color w:val="1A1A2E"/>
                <w:sz w:val="20"/>
                <w:szCs w:val="20"/>
              </w:rPr>
              <w:t xml:space="preserve">We store your health data securely and use it only to operate your personal programme on this platform. We never sell it. You can delete your account and have your personal details removed at any time.</w:t>
            </w:r>
          </w:p>
          <w:p>
            <w:pPr>
              <w:spacing w:after="80" w:before="0"/>
            </w:pPr>
          </w:p>
          <w:p>
            <w:r>
              <w:rPr>
                <w:rFonts w:ascii="Arial" w:cs="Arial" w:eastAsia="Arial" w:hAnsi="Arial"/>
                <w:b/>
                <w:bCs/>
                <w:color w:val="95A5A6"/>
                <w:sz w:val="18"/>
                <w:szCs w:val="18"/>
              </w:rPr>
              <w:t xml:space="preserve">Exact checkbox wording:</w:t>
            </w:r>
          </w:p>
          <w:p>
            <w:r>
              <w:rPr>
                <w:rFonts w:ascii="Arial" w:cs="Arial" w:eastAsia="Arial" w:hAnsi="Arial"/>
                <w:color w:val="1A1A2E"/>
                <w:sz w:val="20"/>
                <w:szCs w:val="20"/>
              </w:rPr>
              <w:t xml:space="preserve">I understand that this platform will collect and process my health data, including tinnitus-related scores and physical symptom information, to provide the framework programme and progress tracking. I consent to this processing and understand I can withdraw consent at any time in my account settings.</w:t>
            </w:r>
          </w:p>
          <w:p>
            <w:pPr>
              <w:spacing w:after="60" w:before="0"/>
            </w:pPr>
          </w:p>
          <w:p>
            <w:r>
              <w:rPr>
                <w:rFonts w:ascii="Arial" w:cs="Arial" w:eastAsia="Arial" w:hAnsi="Arial"/>
                <w:i/>
                <w:iCs/>
                <w:color w:val="95A5A6"/>
                <w:sz w:val="18"/>
                <w:szCs w:val="18"/>
              </w:rPr>
              <w:t xml:space="preserve">Checkbox unchecked by default. "Continue to assessment" button disabled until checked.</w:t>
            </w:r>
          </w:p>
        </w:tc>
      </w:tr>
    </w:tbl>
    <w:p>
      <w:pPr>
        <w:spacing w:after="160" w:before="0"/>
      </w:pPr>
    </w:p>
    <w:p>
      <w:pPr>
        <w:spacing w:after="120" w:before="80"/>
      </w:pPr>
      <w:r>
        <w:rPr>
          <w:rFonts w:ascii="Arial" w:cs="Arial" w:eastAsia="Arial" w:hAnsi="Arial"/>
          <w:b/>
          <w:bCs/>
          <w:color w:val="1A1A2E"/>
          <w:sz w:val="22"/>
          <w:szCs w:val="22"/>
        </w:rPr>
        <w:t xml:space="preserve">Step 3 — Same screen as Step 2, below the health data consent (or as a second screen immediately following)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18"/>
                <w:szCs w:val="18"/>
              </w:rPr>
              <w:t xml:space="preserve">☐ OPTIONAL
Consent 3
Research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18"/>
                <w:szCs w:val="18"/>
              </w:rPr>
              <w:t xml:space="preserve">Section heading (displayed above checkbox):</w:t>
            </w:r>
          </w:p>
          <w:p>
            <w:r>
              <w:rPr>
                <w:rFonts w:ascii="Arial" w:cs="Arial" w:eastAsia="Arial" w:hAnsi="Arial"/>
                <w:b/>
                <w:bCs/>
                <w:color w:val="2A7F7F"/>
                <w:sz w:val="20"/>
                <w:szCs w:val="20"/>
              </w:rPr>
              <w:t xml:space="preserve">Optional: contribute to somatic tinnitus research</w:t>
            </w:r>
          </w:p>
          <w:p>
            <w:pPr>
              <w:spacing w:after="60" w:before="0"/>
            </w:pPr>
          </w:p>
          <w:p>
            <w:r>
              <w:rPr>
                <w:rFonts w:ascii="Arial" w:cs="Arial" w:eastAsia="Arial" w:hAnsi="Arial"/>
                <w:b/>
                <w:bCs/>
                <w:color w:val="95A5A6"/>
                <w:sz w:val="18"/>
                <w:szCs w:val="18"/>
              </w:rPr>
              <w:t xml:space="preserve">Section body text:</w:t>
            </w:r>
          </w:p>
          <w:p>
            <w:r>
              <w:rPr>
                <w:rFonts w:ascii="Arial" w:cs="Arial" w:eastAsia="Arial" w:hAnsi="Arial"/>
                <w:color w:val="1A1A2E"/>
                <w:sz w:val="20"/>
                <w:szCs w:val="20"/>
              </w:rPr>
              <w:t xml:space="preserve">Anonymised progress data from this platform has the potential to advance understanding of somatic tinnitus at a population level. If you're happy to contribute, you can opt in below. This is completely optional — it has no effect on your access to the platform. You can change this preference at any time in your account settings.</w:t>
            </w:r>
          </w:p>
          <w:p>
            <w:pPr>
              <w:spacing w:after="80" w:before="0"/>
            </w:pPr>
          </w:p>
          <w:p>
            <w:r>
              <w:rPr>
                <w:rFonts w:ascii="Arial" w:cs="Arial" w:eastAsia="Arial" w:hAnsi="Arial"/>
                <w:b/>
                <w:bCs/>
                <w:color w:val="95A5A6"/>
                <w:sz w:val="18"/>
                <w:szCs w:val="18"/>
              </w:rPr>
              <w:t xml:space="preserve">Exact checkbox wording:</w:t>
            </w:r>
          </w:p>
          <w:p>
            <w:r>
              <w:rPr>
                <w:rFonts w:ascii="Arial" w:cs="Arial" w:eastAsia="Arial" w:hAnsi="Arial"/>
                <w:color w:val="1A1A2E"/>
                <w:sz w:val="20"/>
                <w:szCs w:val="20"/>
              </w:rPr>
              <w:t xml:space="preserve">I agree to my anonymised progress data (tinnitus scores, physical symptom scores, and self-assessment responses, with all personal identifying information removed) being used for research into somatic tinnitus. I understand this is optional, does not affect my platform access, and I can withdraw at any time.</w:t>
            </w:r>
          </w:p>
          <w:p>
            <w:pPr>
              <w:spacing w:after="60" w:before="0"/>
            </w:pPr>
          </w:p>
          <w:p>
            <w:r>
              <w:rPr>
                <w:rFonts w:ascii="Arial" w:cs="Arial" w:eastAsia="Arial" w:hAnsi="Arial"/>
                <w:i/>
                <w:iCs/>
                <w:color w:val="95A5A6"/>
                <w:sz w:val="18"/>
                <w:szCs w:val="18"/>
              </w:rPr>
              <w:t xml:space="preserve">Checkbox UNCHECKED by default. Must not be pre-ticked. Declining has no UI consequence — no prompt, no friction, no re-ask.</w:t>
            </w:r>
          </w:p>
        </w:tc>
      </w:tr>
    </w:tbl>
    <w:p>
      <w:pPr>
        <w:spacing w:after="160" w:before="0"/>
      </w:pPr>
    </w:p>
    <w:p>
      <w:pPr>
        <w:pStyle w:val="Heading2"/>
        <w:spacing w:after="100" w:before="280"/>
      </w:pPr>
      <w:r>
        <w:rPr>
          <w:rFonts w:ascii="Arial" w:cs="Arial" w:eastAsia="Arial" w:hAnsi="Arial"/>
          <w:b/>
          <w:bCs/>
          <w:color w:val="2A7F7F"/>
          <w:sz w:val="24"/>
          <w:szCs w:val="24"/>
        </w:rPr>
        <w:t xml:space="preserve">B3. Consent Withdrawal — Technical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Withdraw health data consent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in account settings. On withdrawal: progress tracker is disabled (cannot log new entries). Existing health data is retained (cannot be processed) but not deleted unless account deletion is requested. Member retains access to framework content and community.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Withdraw research consent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in account settings as a toggle. On withdrawal: future progress data is excluded from research use. Previously anonymised data cannot be recalled (it is no longer linked to identity). No effect on account or platform access.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Account deletion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in account settings. On deletion: name and email deleted from users table. Health data rows anonymised (user_id link severed). Membership record deleted. Process completed within 30 days. Confirmation email sent.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Cancellation (paid member)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Stripe subscription cancelled. Access continues to end of billing period. Data retained. Account remains in database in inactive state. Member can resubscribe. Not the same as account deletion.</w:t>
            </w:r>
          </w:p>
        </w:tc>
      </w:tr>
    </w:tbl>
    <w:p>
      <w:pPr>
        <w:spacing w:after="160" w:before="0"/>
      </w:pPr>
    </w:p>
    <w:p>
      <w:pPr>
        <w:pStyle w:val="Heading2"/>
        <w:spacing w:after="100" w:before="280"/>
      </w:pPr>
      <w:r>
        <w:rPr>
          <w:rFonts w:ascii="Arial" w:cs="Arial" w:eastAsia="Arial" w:hAnsi="Arial"/>
          <w:b/>
          <w:bCs/>
          <w:color w:val="2A7F7F"/>
          <w:sz w:val="24"/>
          <w:szCs w:val="24"/>
        </w:rPr>
        <w:t xml:space="preserve">B4. Data Handling Decisions — Locked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7AE60"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DECISION
LOCKED</w:t>
            </w:r>
          </w:p>
        </w:tc>
        <w:tc>
          <w:tcPr>
            <w:tcW w:type="dxa" w:w="7920"/>
            <w:tcBorders>
              <w:top w:val="none" w:color="FFFFFF" w:sz="0"/>
              <w:left w:val="none" w:color="FFFFFF" w:sz="0"/>
              <w:bottom w:val="none" w:color="FFFFFF" w:sz="0"/>
              <w:right w:val="none" w:color="FFFFFF" w:sz="0"/>
            </w:tcBorders>
            <w:shd w:fill="EAFAF1"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These decisions are locked as of Stage 4. They reflect the architecture decisions in Document 7 and the consent flow above. They must be implemented consistently in the build.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Health data 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Special category data under UK GDPR Article 9. Requires explicit informed consent (Consent 2 above). Stored in progress_logs, phase1_assessment, and users tables (test responses).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PII separation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Name and email stored only in the users table. All health data tables link by user_id only. This enables clean anonymisation on deletion without touching health data rows.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Research data anonymisation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Anonymisation = permanent removal of name, email, and all identifying columns from users table. Anonymised rows retain user_id (now a meaningless identifier) and all health data columns. Irreversible.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Data retention period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Indefinite while account is active. On account deletion: PII deleted, health data anonymised. No time-based automatic deletion implemented at launch.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Third party data sharing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identifiable data shared with any third party. Database hosted on Supabase (encrypted at rest and in transit). No analytics tools with access to health data at launch.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ICO registration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Required before collecting any personal data. Reference number to be inserted in terms and privacy policy once obtained. See Part C.</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LAWYER
REVIEW</w:t>
            </w:r>
          </w:p>
        </w:tc>
        <w:tc>
          <w:tcPr>
            <w:tcW w:type="dxa" w:w="7920"/>
            <w:tcBorders>
              <w:top w:val="none" w:color="FFFFFF" w:sz="0"/>
              <w:left w:val="none" w:color="FFFFFF" w:sz="0"/>
              <w:bottom w:val="none" w:color="FFFFFF" w:sz="0"/>
              <w:right w:val="none" w:color="FFFFFF" w:sz="0"/>
            </w:tcBorders>
            <w:shd w:fill="FEF6E8"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The health data consent flow (Consent 2) and the research consent (Consent 3) should be reviewed for compliance with UK GDPR Article 9 (special categories), Article 7 (conditions for consent), and Recital 32 (consent must be freely given, specific, informed, and unambiguous). The separation of research consent from service consent is deliberate — bundling them would likely invalidate both. Lawyer to confirm the consent language meets the explicit consent standard required for Article 9 data. This is question 2 on the lawyer briefing agenda.</w:t>
            </w:r>
          </w:p>
        </w:tc>
      </w:tr>
    </w:tbl>
    <w:p>
      <w:pPr>
        <w:spacing w:after="200" w:before="0"/>
      </w:pPr>
    </w:p>
    <w:p>
      <w:r>
        <w:br w:type="page"/>
      </w:r>
    </w:p>
    <w:p>
      <w:pPr>
        <w:spacing w:after="80" w:before="0"/>
      </w:pPr>
      <w:r>
        <w:rPr>
          <w:rFonts w:ascii="Arial" w:cs="Arial" w:eastAsia="Arial" w:hAnsi="Arial"/>
          <w:b/>
          <w:bCs/>
          <w:color w:val="2A7F7F"/>
          <w:sz w:val="20"/>
          <w:szCs w:val="20"/>
        </w:rPr>
        <w:t xml:space="preserve">PART C</w:t>
      </w:r>
    </w:p>
    <w:p>
      <w:pPr>
        <w:pStyle w:val="Heading1"/>
        <w:spacing w:after="120" w:before="360"/>
      </w:pPr>
      <w:r>
        <w:rPr>
          <w:rFonts w:ascii="Arial" w:cs="Arial" w:eastAsia="Arial" w:hAnsi="Arial"/>
          <w:b/>
          <w:bCs/>
          <w:color w:val="1B3A5C"/>
          <w:sz w:val="28"/>
          <w:szCs w:val="28"/>
        </w:rPr>
        <w:t xml:space="preserve">ICO Registration Prompt</w:t>
      </w:r>
    </w:p>
    <w:p>
      <w:pPr>
        <w:spacing w:after="120" w:before="80"/>
      </w:pPr>
      <w:r>
        <w:rPr>
          <w:rFonts w:ascii="Arial" w:cs="Arial" w:eastAsia="Arial" w:hAnsi="Arial"/>
          <w:color w:val="1A1A2E"/>
          <w:sz w:val="22"/>
          <w:szCs w:val="22"/>
        </w:rPr>
        <w:t xml:space="preserve">Complete this before the platform collects any personal data from members.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ATTENTION</w:t>
            </w:r>
          </w:p>
        </w:tc>
        <w:tc>
          <w:tcPr>
            <w:tcW w:type="dxa" w:w="7920"/>
            <w:tcBorders>
              <w:top w:val="none" w:color="FFFFFF" w:sz="0"/>
              <w:left w:val="none" w:color="FFFFFF" w:sz="0"/>
              <w:bottom w:val="none" w:color="FFFFFF" w:sz="0"/>
              <w:right w:val="none" w:color="FFFFFF" w:sz="0"/>
            </w:tcBorders>
            <w:shd w:fill="FDEDEC"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ICO registration must be completed before you go live. Processing personal data (including health data) without registration where registration is required is an offence under the Data Protection Act 2018. The annual fee is £40 for sole traders with a turnover under £632,000.</w:t>
            </w:r>
          </w:p>
        </w:tc>
      </w:tr>
    </w:tbl>
    <w:p>
      <w:pPr>
        <w:spacing w:after="160" w:before="0"/>
      </w:pPr>
    </w:p>
    <w:p>
      <w:pPr>
        <w:pStyle w:val="Heading2"/>
        <w:spacing w:after="100" w:before="280"/>
      </w:pPr>
      <w:r>
        <w:rPr>
          <w:rFonts w:ascii="Arial" w:cs="Arial" w:eastAsia="Arial" w:hAnsi="Arial"/>
          <w:b/>
          <w:bCs/>
          <w:color w:val="2A7F7F"/>
          <w:sz w:val="24"/>
          <w:szCs w:val="24"/>
        </w:rPr>
        <w:t xml:space="preserve">C1. What ICO Registration Is</w:t>
      </w:r>
    </w:p>
    <w:p>
      <w:pPr>
        <w:spacing w:after="120" w:before="80"/>
      </w:pPr>
      <w:r>
        <w:rPr>
          <w:rFonts w:ascii="Arial" w:cs="Arial" w:eastAsia="Arial" w:hAnsi="Arial"/>
          <w:color w:val="1A1A2E"/>
          <w:sz w:val="22"/>
          <w:szCs w:val="22"/>
        </w:rPr>
        <w:t xml:space="preserve">The Information Commissioner's Office (ICO) is the UK's data protection regulator. Most organisations that process personal data are required to pay a data protection fee and register their processing activities. This is separate from having a privacy policy — it is a formal regulatory requirement.</w:t>
      </w:r>
    </w:p>
    <w:p>
      <w:pPr>
        <w:spacing w:after="80" w:before="0"/>
      </w:pPr>
    </w:p>
    <w:p>
      <w:pPr>
        <w:spacing w:after="120" w:before="80"/>
      </w:pPr>
      <w:r>
        <w:rPr>
          <w:rFonts w:ascii="Arial" w:cs="Arial" w:eastAsia="Arial" w:hAnsi="Arial"/>
          <w:color w:val="1A1A2E"/>
          <w:sz w:val="22"/>
          <w:szCs w:val="22"/>
        </w:rPr>
        <w:t xml:space="preserve">Register at: ico.org.uk/registration</w:t>
      </w:r>
    </w:p>
    <w:p>
      <w:pPr>
        <w:spacing w:after="160" w:before="0"/>
      </w:pPr>
    </w:p>
    <w:p>
      <w:pPr>
        <w:pStyle w:val="Heading2"/>
        <w:spacing w:after="100" w:before="280"/>
      </w:pPr>
      <w:r>
        <w:rPr>
          <w:rFonts w:ascii="Arial" w:cs="Arial" w:eastAsia="Arial" w:hAnsi="Arial"/>
          <w:b/>
          <w:bCs/>
          <w:color w:val="2A7F7F"/>
          <w:sz w:val="24"/>
          <w:szCs w:val="24"/>
        </w:rPr>
        <w:t xml:space="preserve">C2. Information You Need to Complete Registration</w:t>
      </w:r>
    </w:p>
    <w:p>
      <w:pPr>
        <w:spacing w:after="120" w:before="80"/>
      </w:pPr>
      <w:r>
        <w:rPr>
          <w:rFonts w:ascii="Arial" w:cs="Arial" w:eastAsia="Arial" w:hAnsi="Arial"/>
          <w:color w:val="1A1A2E"/>
          <w:sz w:val="22"/>
          <w:szCs w:val="22"/>
        </w:rPr>
        <w:t xml:space="preserve">Have the following to hand when you sit down to register. The form takes approximately 15–20 minutes.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Organisation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The Somatic Tinnitus Project (or your legal trading name if different)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Organisation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Sole trader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Your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Oliver [SURNAME]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Your registered/trading address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Nature of 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Operating a health education platform. Collecting and processing personal data including special category health data (tinnitus and physical symptom information) from platform members for the purpose of providing an educational programme.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Data subjects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Platform members (adults)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Types of personal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Name, email address, health data (tinnitus scores, jaw/neck/stress/sleep scores, self-assessment responses)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Purpose of 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Providing the platform service, member account management, progress tracking, and (with separate optional consent) anonymised research into somatic tinnitus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Recipients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third parties receive personal data. Supabase (data processor, infrastructure only). Stripe (payment data only, not health data).</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Transfers outside UK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Supabase servers: confirm data region during Supabase setup. If EU region selected, this is an adequacy decision transfer. If US region, Standard Contractual Clauses apply — confirm with Supabase.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Annual turnover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Under £632,000 — Tier 1 fee applies (£40/year)</w:t>
            </w:r>
          </w:p>
        </w:tc>
      </w:tr>
    </w:tbl>
    <w:p>
      <w:pPr>
        <w:spacing w:after="160" w:before="0"/>
      </w:pPr>
    </w:p>
    <w:p>
      <w:pPr>
        <w:pStyle w:val="Heading2"/>
        <w:spacing w:after="100" w:before="280"/>
      </w:pPr>
      <w:r>
        <w:rPr>
          <w:rFonts w:ascii="Arial" w:cs="Arial" w:eastAsia="Arial" w:hAnsi="Arial"/>
          <w:b/>
          <w:bCs/>
          <w:color w:val="2A7F7F"/>
          <w:sz w:val="24"/>
          <w:szCs w:val="24"/>
        </w:rPr>
        <w:t xml:space="preserve">C3. After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Record your reference 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The ICO issues a registration reference number. Record it here: ICO Reference: ___________________</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Add to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Insert the reference number into Section 9 of the Terms of Service and into the Privacy Policy footer.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Renewal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Registration renews annually. Set a calendar reminder for 30 days before the renewal date.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Screenshot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Save a screenshot of the completed registration confirmation for your records.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A7F7F" w:val="clear"/>
            <w:tcMar>
              <w:top w:type="dxa" w:w="100"/>
              <w:left w:type="dxa" w:w="120"/>
              <w:bottom w:type="dxa" w:w="100"/>
              <w:right w:type="dxa" w:w="120"/>
            </w:tcMar>
            <w:vAlign w:val="top"/>
          </w:tcPr>
          <w:p>
            <w:pPr>
              <w:jc w:val="center"/>
            </w:pPr>
            <w:r>
              <w:rPr>
                <w:rFonts w:ascii="Arial" w:cs="Arial" w:eastAsia="Arial" w:hAnsi="Arial"/>
                <w:b/>
                <w:bCs/>
                <w:color w:val="FFFFFF"/>
                <w:sz w:val="18"/>
                <w:szCs w:val="18"/>
              </w:rPr>
              <w:t xml:space="preserve">DRAFT
NOTE</w:t>
            </w:r>
          </w:p>
        </w:tc>
        <w:tc>
          <w:tcPr>
            <w:tcW w:type="dxa" w:w="7920"/>
            <w:tcBorders>
              <w:top w:val="none" w:color="FFFFFF" w:sz="0"/>
              <w:left w:val="none" w:color="FFFFFF" w:sz="0"/>
              <w:bottom w:val="none" w:color="FFFFFF" w:sz="0"/>
              <w:right w:val="none" w:color="FFFFFF" w:sz="0"/>
            </w:tcBorders>
            <w:shd w:fill="E8F4F4" w:val="clear"/>
            <w:tcMar>
              <w:top w:type="dxa" w:w="100"/>
              <w:left w:type="dxa" w:w="160"/>
              <w:bottom w:type="dxa" w:w="100"/>
              <w:right w:type="dxa" w:w="160"/>
            </w:tcMar>
          </w:tcPr>
          <w:p>
            <w:pPr>
              <w:spacing w:after="0" w:before="0"/>
            </w:pPr>
            <w:r>
              <w:rPr>
                <w:rFonts w:ascii="Arial" w:cs="Arial" w:eastAsia="Arial" w:hAnsi="Arial"/>
                <w:i/>
                <w:iCs/>
                <w:color w:val="1A1A2E"/>
                <w:sz w:val="20"/>
                <w:szCs w:val="20"/>
              </w:rPr>
              <w:t xml:space="preserve">Once ICO registration is complete, record the reference number above and update the Terms of Service (Section 9) and Privacy Policy with the number before publication.</w:t>
            </w:r>
          </w:p>
        </w:tc>
      </w:tr>
    </w:tbl>
    <w:p>
      <w:pPr>
        <w:spacing w:after="200" w:before="0"/>
      </w:pPr>
    </w:p>
    <w:p>
      <w:r>
        <w:br w:type="page"/>
      </w:r>
    </w:p>
    <w:p>
      <w:pPr>
        <w:spacing w:after="80" w:before="0"/>
      </w:pPr>
      <w:r>
        <w:rPr>
          <w:rFonts w:ascii="Arial" w:cs="Arial" w:eastAsia="Arial" w:hAnsi="Arial"/>
          <w:b/>
          <w:bCs/>
          <w:color w:val="2A7F7F"/>
          <w:sz w:val="20"/>
          <w:szCs w:val="20"/>
        </w:rPr>
        <w:t xml:space="preserve">PART D</w:t>
      </w:r>
    </w:p>
    <w:p>
      <w:pPr>
        <w:pStyle w:val="Heading1"/>
        <w:spacing w:after="120" w:before="360"/>
      </w:pPr>
      <w:r>
        <w:rPr>
          <w:rFonts w:ascii="Arial" w:cs="Arial" w:eastAsia="Arial" w:hAnsi="Arial"/>
          <w:b/>
          <w:bCs/>
          <w:color w:val="1B3A5C"/>
          <w:sz w:val="28"/>
          <w:szCs w:val="28"/>
        </w:rPr>
        <w:t xml:space="preserve">Lawyer Session Briefing Document</w:t>
      </w:r>
    </w:p>
    <w:p>
      <w:pPr>
        <w:spacing w:after="80" w:before="0"/>
      </w:pPr>
    </w:p>
    <w:p>
      <w:pPr>
        <w:spacing w:after="120" w:before="0"/>
      </w:pPr>
      <w:r>
        <w:rPr>
          <w:rFonts w:ascii="Arial" w:cs="Arial" w:eastAsia="Arial" w:hAnsi="Arial"/>
          <w:color w:val="1A1A2E"/>
          <w:sz w:val="22"/>
          <w:szCs w:val="22"/>
        </w:rPr>
        <w:t xml:space="preserve">One hour pre-launch session with a tech startup solicitor.   </w:t>
      </w:r>
      <w:r>
        <w:rPr>
          <w:rFonts w:ascii="Arial" w:cs="Arial" w:eastAsia="Arial" w:hAnsi="Arial"/>
          <w:b/>
          <w:bCs/>
          <w:color w:val="1B3A5C"/>
          <w:sz w:val="22"/>
          <w:szCs w:val="22"/>
        </w:rPr>
        <w:t xml:space="preserve">Estimated cost: £200–£400.</w:t>
      </w:r>
    </w:p>
    <w:p>
      <w:pPr>
        <w:spacing w:after="120" w:before="80"/>
      </w:pPr>
      <w:r>
        <w:rPr>
          <w:rFonts w:ascii="Arial" w:cs="Arial" w:eastAsia="Arial" w:hAnsi="Arial"/>
          <w:color w:val="1A1A2E"/>
          <w:sz w:val="22"/>
          <w:szCs w:val="22"/>
        </w:rPr>
        <w:t xml:space="preserve">Bring this document and Parts A and B of Document 10 to the session. The lawyer does not need to read the full document — the agenda below is self-contained. Each question includes the relevant drafted clause for the lawyer to review directly.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bottom w:val="single" w:color="1B3A5C" w:sz="6"/>
            </w:tcBorders>
            <w:shd w:fill="F4F6F8" w:val="clear"/>
            <w:tcMar>
              <w:top w:type="dxa" w:w="160"/>
              <w:left w:type="dxa" w:w="200"/>
              <w:bottom w:type="dxa" w:w="160"/>
              <w:right w:type="dxa" w:w="200"/>
            </w:tcMar>
          </w:tcPr>
          <w:p>
            <w:r>
              <w:rPr>
                <w:rFonts w:ascii="Arial" w:cs="Arial" w:eastAsia="Arial" w:hAnsi="Arial"/>
                <w:b/>
                <w:bCs/>
                <w:color w:val="1B3A5C"/>
                <w:sz w:val="22"/>
                <w:szCs w:val="22"/>
              </w:rPr>
              <w:t xml:space="preserve">Platform Context</w:t>
            </w:r>
          </w:p>
          <w:p>
            <w:pPr>
              <w:spacing w:after="80" w:before="0"/>
            </w:pPr>
          </w:p>
          <w:p>
            <w:r>
              <w:rPr>
                <w:rFonts w:ascii="Arial" w:cs="Arial" w:eastAsia="Arial" w:hAnsi="Arial"/>
                <w:color w:val="1A1A2E"/>
                <w:sz w:val="20"/>
                <w:szCs w:val="20"/>
              </w:rPr>
              <w:t xml:space="preserve">The Somatic Tinnitus Project is a UK-based health education platform operated by a sole trader. It provides a structured five-phase educational framework addressing the somatic contributors to tinnitus (jaw, cervical, and nervous system factors). It collects special category health data (tinnitus and physical symptom scores) from members. It is not a medical service and does not provide diagnosis or clinical treatment.</w:t>
            </w:r>
          </w:p>
          <w:p>
            <w:pPr>
              <w:spacing w:after="80" w:before="0"/>
            </w:pPr>
          </w:p>
          <w:p>
            <w:r>
              <w:rPr>
                <w:rFonts w:ascii="Arial" w:cs="Arial" w:eastAsia="Arial" w:hAnsi="Arial"/>
                <w:color w:val="1A1A2E"/>
                <w:sz w:val="20"/>
                <w:szCs w:val="20"/>
              </w:rPr>
              <w:t xml:space="preserve">Launch context: approximately 1,000 founding members (free lifetime access) onboarding simultaneously with the first paying members at £2.99/month. Full terms and GDPR consent flow drafted in Document 10. ICO registration to be completed before launch.</w:t>
            </w:r>
          </w:p>
        </w:tc>
      </w:tr>
    </w:tbl>
    <w:p>
      <w:pPr>
        <w:spacing w:after="160" w:before="0"/>
      </w:pPr>
    </w:p>
    <w:p>
      <w:pPr>
        <w:pStyle w:val="Heading2"/>
        <w:spacing w:after="100" w:before="280"/>
      </w:pPr>
      <w:r>
        <w:rPr>
          <w:rFonts w:ascii="Arial" w:cs="Arial" w:eastAsia="Arial" w:hAnsi="Arial"/>
          <w:b/>
          <w:bCs/>
          <w:color w:val="2A7F7F"/>
          <w:sz w:val="24"/>
          <w:szCs w:val="24"/>
        </w:rPr>
        <w:t xml:space="preserve">Agenda — Five Questions for the Session</w:t>
      </w:r>
    </w:p>
    <w:p>
      <w:pPr>
        <w:spacing w:after="80" w:before="0"/>
      </w:pPr>
    </w:p>
    <w:p>
      <w:pPr>
        <w:pStyle w:val="Heading3"/>
        <w:spacing w:after="80" w:before="200"/>
      </w:pPr>
      <w:r>
        <w:rPr>
          <w:rFonts w:ascii="Arial" w:cs="Arial" w:eastAsia="Arial" w:hAnsi="Arial"/>
          <w:b/>
          <w:bCs/>
          <w:color w:val="1B3A5C"/>
          <w:sz w:val="22"/>
          <w:szCs w:val="22"/>
        </w:rPr>
        <w:t xml:space="preserve">Question 1 — Founding Member Commitment (Priority)</w:t>
      </w:r>
    </w:p>
    <w:p>
      <w:pPr>
        <w:spacing w:after="120" w:before="80"/>
      </w:pPr>
      <w:r>
        <w:rPr>
          <w:rFonts w:ascii="Arial" w:cs="Arial" w:eastAsia="Arial" w:hAnsi="Arial"/>
          <w:color w:val="1A1A2E"/>
          <w:sz w:val="22"/>
          <w:szCs w:val="22"/>
        </w:rPr>
        <w:t xml:space="preserve">Background: Approximately 1,000 individuals signed up to a waitlist and were promised free lifetime access to the platform. This commitment was made prior to the launch of paid membership. It is implemented in the database as a boolean flag (is_founding_member = TRUE) granting access without any Stripe payment requirement.</w:t>
      </w:r>
    </w:p>
    <w:p>
      <w:pPr>
        <w:spacing w:after="80" w:before="0"/>
      </w:pPr>
    </w:p>
    <w:p>
      <w:pPr>
        <w:spacing w:after="120" w:before="80"/>
      </w:pPr>
      <w:r>
        <w:rPr>
          <w:rFonts w:ascii="Arial" w:cs="Arial" w:eastAsia="Arial" w:hAnsi="Arial"/>
          <w:color w:val="1A1A2E"/>
          <w:sz w:val="22"/>
          <w:szCs w:val="22"/>
        </w:rPr>
        <w:t xml:space="preserve">Drafted clause for review: Terms of Service Section 4 (Parts A and B of Document 10).</w:t>
      </w:r>
    </w:p>
    <w:p>
      <w:pPr>
        <w:spacing w:after="80" w:before="0"/>
      </w:pPr>
    </w:p>
    <w:p>
      <w:pPr>
        <w:spacing w:after="120" w:before="80"/>
      </w:pPr>
      <w:r>
        <w:rPr>
          <w:rFonts w:ascii="Arial" w:cs="Arial" w:eastAsia="Arial" w:hAnsi="Arial"/>
          <w:color w:val="1A1A2E"/>
          <w:sz w:val="22"/>
          <w:szCs w:val="22"/>
        </w:rPr>
        <w:t xml:space="preserve">Questions for the lawyer:</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the founding member commitment constitute a binding legal obligation, and if so, on what basis (contract, promissory estoppel)?</w:t>
      </w:r>
    </w:p>
    <w:p>
      <w:pPr>
        <w:pStyle w:val="ListParagraph"/>
        <w:numPr>
          <w:ilvl w:val="0"/>
          <w:numId w:val="2"/>
        </w:numPr>
        <w:spacing w:after="60" w:before="60"/>
      </w:pPr>
      <w:r>
        <w:rPr>
          <w:rFonts w:ascii="Arial" w:cs="Arial" w:eastAsia="Arial" w:hAnsi="Arial"/>
          <w:b w:val="false"/>
          <w:bCs w:val="false"/>
          <w:color w:val="1A1A2E"/>
          <w:sz w:val="22"/>
          <w:szCs w:val="22"/>
        </w:rPr>
        <w:t xml:space="preserve">Are there any circumstances in which the obligation could lawfully be limited or extinguished — for example, if the platform ceases to operate?</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distinction between included platform access and excluded future premium products (Section 4.2) drafted sufficiently clearly to be defensible?</w:t>
      </w:r>
    </w:p>
    <w:p>
      <w:pPr>
        <w:pStyle w:val="ListParagraph"/>
        <w:numPr>
          <w:ilvl w:val="0"/>
          <w:numId w:val="2"/>
        </w:numPr>
        <w:spacing w:after="60" w:before="60"/>
      </w:pPr>
      <w:r>
        <w:rPr>
          <w:rFonts w:ascii="Arial" w:cs="Arial" w:eastAsia="Arial" w:hAnsi="Arial"/>
          <w:b w:val="false"/>
          <w:bCs w:val="false"/>
          <w:color w:val="1A1A2E"/>
          <w:sz w:val="22"/>
          <w:szCs w:val="22"/>
        </w:rPr>
        <w:t xml:space="preserve">What wording changes, if any, would strengthen this clause?</w:t>
      </w:r>
    </w:p>
    <w:p>
      <w:pPr>
        <w:spacing w:after="80" w:before="0"/>
      </w:pPr>
    </w:p>
    <w:p>
      <w:pPr>
        <w:spacing w:after="120" w:before="80"/>
      </w:pPr>
      <w:r>
        <w:rPr>
          <w:rFonts w:ascii="Arial" w:cs="Arial" w:eastAsia="Arial" w:hAnsi="Arial"/>
          <w:color w:val="1A1A2E"/>
          <w:sz w:val="22"/>
          <w:szCs w:val="22"/>
        </w:rPr>
        <w:t xml:space="preserve">Bring to session: the original wording used in the founding member commitment (landing page / email / social post) so the lawyer can assess consistency with the drafted clause.</w:t>
      </w:r>
    </w:p>
    <w:p>
      <w:pPr>
        <w:spacing w:after="160" w:before="0"/>
      </w:pPr>
    </w:p>
    <w:p>
      <w:pPr>
        <w:pStyle w:val="Heading3"/>
        <w:spacing w:after="80" w:before="200"/>
      </w:pPr>
      <w:r>
        <w:rPr>
          <w:rFonts w:ascii="Arial" w:cs="Arial" w:eastAsia="Arial" w:hAnsi="Arial"/>
          <w:b/>
          <w:bCs/>
          <w:color w:val="1B3A5C"/>
          <w:sz w:val="22"/>
          <w:szCs w:val="22"/>
        </w:rPr>
        <w:t xml:space="preserve">Question 2 — Health Data Consent Flow (GDPR Compliance)</w:t>
      </w:r>
    </w:p>
    <w:p>
      <w:pPr>
        <w:spacing w:after="120" w:before="80"/>
      </w:pPr>
      <w:r>
        <w:rPr>
          <w:rFonts w:ascii="Arial" w:cs="Arial" w:eastAsia="Arial" w:hAnsi="Arial"/>
          <w:color w:val="1A1A2E"/>
          <w:sz w:val="22"/>
          <w:szCs w:val="22"/>
        </w:rPr>
        <w:t xml:space="preserve">Background: The platform collects special category health data under UK GDPR Article 9. Three separate consent moments are built into onboarding: terms acceptance, explicit health data consent, and optional research consent. The full consent flow with exact checkbox wording is in Part B of Document 10.</w:t>
      </w:r>
    </w:p>
    <w:p>
      <w:pPr>
        <w:spacing w:after="80" w:before="0"/>
      </w:pPr>
    </w:p>
    <w:p>
      <w:pPr>
        <w:spacing w:after="120" w:before="80"/>
      </w:pPr>
      <w:r>
        <w:rPr>
          <w:rFonts w:ascii="Arial" w:cs="Arial" w:eastAsia="Arial" w:hAnsi="Arial"/>
          <w:color w:val="1A1A2E"/>
          <w:sz w:val="22"/>
          <w:szCs w:val="22"/>
        </w:rPr>
        <w:t xml:space="preserve">Drafted content for review: Part B of Document 10 (GDPR Consent Flow), Terms of Service Sections 6 and 7.</w:t>
      </w:r>
    </w:p>
    <w:p>
      <w:pPr>
        <w:spacing w:after="80" w:before="0"/>
      </w:pPr>
    </w:p>
    <w:p>
      <w:pPr>
        <w:spacing w:after="120" w:before="80"/>
      </w:pPr>
      <w:r>
        <w:rPr>
          <w:rFonts w:ascii="Arial" w:cs="Arial" w:eastAsia="Arial" w:hAnsi="Arial"/>
          <w:color w:val="1A1A2E"/>
          <w:sz w:val="22"/>
          <w:szCs w:val="22"/>
        </w:rPr>
        <w:t xml:space="preserve">Questions for the lawyer:</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the health data consent checkpoint (Consent 2) meet the explicit consent standard required under UK GDPR Article 9?</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exact checkbox wording drafted in Part B sufficient, or does it need strengthening?</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separation of research consent (Consent 3) from service consent correctly implemented — specifically, does declining research consent have no effect on service access?</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the anonymisation-on-deletion approach (Section 8) satisfy the right to erasure under Article 17, given that truly anonymised data is no longer personal data?</w:t>
      </w:r>
    </w:p>
    <w:p>
      <w:pPr>
        <w:spacing w:after="160" w:before="0"/>
      </w:pPr>
    </w:p>
    <w:p>
      <w:pPr>
        <w:pStyle w:val="Heading3"/>
        <w:spacing w:after="80" w:before="200"/>
      </w:pPr>
      <w:r>
        <w:rPr>
          <w:rFonts w:ascii="Arial" w:cs="Arial" w:eastAsia="Arial" w:hAnsi="Arial"/>
          <w:b/>
          <w:bCs/>
          <w:color w:val="1B3A5C"/>
          <w:sz w:val="22"/>
          <w:szCs w:val="22"/>
        </w:rPr>
        <w:t xml:space="preserve">Question 3 — Limitation of Liability and Educational Framing</w:t>
      </w:r>
    </w:p>
    <w:p>
      <w:pPr>
        <w:spacing w:after="120" w:before="80"/>
      </w:pPr>
      <w:r>
        <w:rPr>
          <w:rFonts w:ascii="Arial" w:cs="Arial" w:eastAsia="Arial" w:hAnsi="Arial"/>
          <w:color w:val="1A1A2E"/>
          <w:sz w:val="22"/>
          <w:szCs w:val="22"/>
        </w:rPr>
        <w:t xml:space="preserve">Background: The platform generates an A/B/C classification from self-reported data and delivers a structured physical intervention protocol across five phases. The educational framing disclaimer currently reads: "This result is not a medical diagnosis. The Somatic Tinnitus Project is an educational platform sharing personal experience and community insights. Nothing on this platform constitutes medical advice." This language is live on the current platform.</w:t>
      </w:r>
    </w:p>
    <w:p>
      <w:pPr>
        <w:spacing w:after="80" w:before="0"/>
      </w:pPr>
    </w:p>
    <w:p>
      <w:pPr>
        <w:spacing w:after="120" w:before="80"/>
      </w:pPr>
      <w:r>
        <w:rPr>
          <w:rFonts w:ascii="Arial" w:cs="Arial" w:eastAsia="Arial" w:hAnsi="Arial"/>
          <w:color w:val="1A1A2E"/>
          <w:sz w:val="22"/>
          <w:szCs w:val="22"/>
        </w:rPr>
        <w:t xml:space="preserve">Drafted clause for review: Terms of Service Sections 2, 3, and 10.</w:t>
      </w:r>
    </w:p>
    <w:p>
      <w:pPr>
        <w:spacing w:after="80" w:before="0"/>
      </w:pPr>
    </w:p>
    <w:p>
      <w:pPr>
        <w:spacing w:after="120" w:before="80"/>
      </w:pPr>
      <w:r>
        <w:rPr>
          <w:rFonts w:ascii="Arial" w:cs="Arial" w:eastAsia="Arial" w:hAnsi="Arial"/>
          <w:color w:val="1A1A2E"/>
          <w:sz w:val="22"/>
          <w:szCs w:val="22"/>
        </w:rPr>
        <w:t xml:space="preserve">Questions for the lawyer:</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current educational framing and limitation of liability clause adequate given the nature of the content (a structured physical health intervention protocol)?</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the A/B/C classification tool risk being characterised as a medical device under the MHRA framework? If so, what steps would be required?</w:t>
      </w:r>
    </w:p>
    <w:p>
      <w:pPr>
        <w:pStyle w:val="ListParagraph"/>
        <w:numPr>
          <w:ilvl w:val="0"/>
          <w:numId w:val="2"/>
        </w:numPr>
        <w:spacing w:after="60" w:before="60"/>
      </w:pPr>
      <w:r>
        <w:rPr>
          <w:rFonts w:ascii="Arial" w:cs="Arial" w:eastAsia="Arial" w:hAnsi="Arial"/>
          <w:b w:val="false"/>
          <w:bCs w:val="false"/>
          <w:color w:val="1A1A2E"/>
          <w:sz w:val="22"/>
          <w:szCs w:val="22"/>
        </w:rPr>
        <w:t xml:space="preserve">Under the Consumer Rights Act 2015 and Unfair Contract Terms Act 1977, which elements of the liability limitation clause (Section 10) are enforceable against UK consumers and which are not?</w:t>
      </w:r>
    </w:p>
    <w:p>
      <w:pPr>
        <w:pStyle w:val="ListParagraph"/>
        <w:numPr>
          <w:ilvl w:val="0"/>
          <w:numId w:val="2"/>
        </w:numPr>
        <w:spacing w:after="60" w:before="60"/>
      </w:pPr>
      <w:r>
        <w:rPr>
          <w:rFonts w:ascii="Arial" w:cs="Arial" w:eastAsia="Arial" w:hAnsi="Arial"/>
          <w:b w:val="false"/>
          <w:bCs w:val="false"/>
          <w:color w:val="1A1A2E"/>
          <w:sz w:val="22"/>
          <w:szCs w:val="22"/>
        </w:rPr>
        <w:t xml:space="preserve">What additional disclaimer language, if any, should be added to the result pages or framework content?</w:t>
      </w:r>
    </w:p>
    <w:p>
      <w:pPr>
        <w:spacing w:after="160" w:before="0"/>
      </w:pPr>
    </w:p>
    <w:p>
      <w:pPr>
        <w:pStyle w:val="Heading3"/>
        <w:spacing w:after="80" w:before="200"/>
      </w:pPr>
      <w:r>
        <w:rPr>
          <w:rFonts w:ascii="Arial" w:cs="Arial" w:eastAsia="Arial" w:hAnsi="Arial"/>
          <w:b/>
          <w:bCs/>
          <w:color w:val="1B3A5C"/>
          <w:sz w:val="22"/>
          <w:szCs w:val="22"/>
        </w:rPr>
        <w:t xml:space="preserve">Question 4 — Trademark Registration</w:t>
      </w:r>
    </w:p>
    <w:p>
      <w:pPr>
        <w:spacing w:after="120" w:before="80"/>
      </w:pPr>
      <w:r>
        <w:rPr>
          <w:rFonts w:ascii="Arial" w:cs="Arial" w:eastAsia="Arial" w:hAnsi="Arial"/>
          <w:color w:val="1A1A2E"/>
          <w:sz w:val="22"/>
          <w:szCs w:val="22"/>
        </w:rPr>
        <w:t xml:space="preserve">Background: "The Somatic Tinnitus Project" is the brand name and may have significant value as the platform grows. No trademark protection is currently in place.</w:t>
      </w:r>
    </w:p>
    <w:p>
      <w:pPr>
        <w:spacing w:after="80" w:before="0"/>
      </w:pPr>
    </w:p>
    <w:p>
      <w:pPr>
        <w:spacing w:after="120" w:before="80"/>
      </w:pPr>
      <w:r>
        <w:rPr>
          <w:rFonts w:ascii="Arial" w:cs="Arial" w:eastAsia="Arial" w:hAnsi="Arial"/>
          <w:color w:val="1A1A2E"/>
          <w:sz w:val="22"/>
          <w:szCs w:val="22"/>
        </w:rPr>
        <w:t xml:space="preserve">Questions for the lawyer:</w:t>
      </w:r>
    </w:p>
    <w:p>
      <w:pPr>
        <w:pStyle w:val="ListParagraph"/>
        <w:numPr>
          <w:ilvl w:val="0"/>
          <w:numId w:val="2"/>
        </w:numPr>
        <w:spacing w:after="60" w:before="60"/>
      </w:pPr>
      <w:r>
        <w:rPr>
          <w:rFonts w:ascii="Arial" w:cs="Arial" w:eastAsia="Arial" w:hAnsi="Arial"/>
          <w:b w:val="false"/>
          <w:bCs w:val="false"/>
          <w:color w:val="1A1A2E"/>
          <w:sz w:val="22"/>
          <w:szCs w:val="22"/>
        </w:rPr>
        <w:t xml:space="preserve">Should "The Somatic Tinnitus Project" be registered as a trademark, and if so, in which classes?</w:t>
      </w:r>
    </w:p>
    <w:p>
      <w:pPr>
        <w:pStyle w:val="ListParagraph"/>
        <w:numPr>
          <w:ilvl w:val="0"/>
          <w:numId w:val="2"/>
        </w:numPr>
        <w:spacing w:after="60" w:before="60"/>
      </w:pPr>
      <w:r>
        <w:rPr>
          <w:rFonts w:ascii="Arial" w:cs="Arial" w:eastAsia="Arial" w:hAnsi="Arial"/>
          <w:b w:val="false"/>
          <w:bCs w:val="false"/>
          <w:color w:val="1A1A2E"/>
          <w:sz w:val="22"/>
          <w:szCs w:val="22"/>
        </w:rPr>
        <w:t xml:space="preserve">What is the approximate cost and timeline for UK trademark registration?</w:t>
      </w:r>
    </w:p>
    <w:p>
      <w:pPr>
        <w:pStyle w:val="ListParagraph"/>
        <w:numPr>
          <w:ilvl w:val="0"/>
          <w:numId w:val="2"/>
        </w:numPr>
        <w:spacing w:after="60" w:before="60"/>
      </w:pPr>
      <w:r>
        <w:rPr>
          <w:rFonts w:ascii="Arial" w:cs="Arial" w:eastAsia="Arial" w:hAnsi="Arial"/>
          <w:b w:val="false"/>
          <w:bCs w:val="false"/>
          <w:color w:val="1A1A2E"/>
          <w:sz w:val="22"/>
          <w:szCs w:val="22"/>
        </w:rPr>
        <w:t xml:space="preserve">Is there any risk of conflict with existing marks that should be checked before launch?</w:t>
      </w:r>
    </w:p>
    <w:p>
      <w:pPr>
        <w:pStyle w:val="ListParagraph"/>
        <w:numPr>
          <w:ilvl w:val="0"/>
          <w:numId w:val="2"/>
        </w:numPr>
        <w:spacing w:after="60" w:before="60"/>
      </w:pPr>
      <w:r>
        <w:rPr>
          <w:rFonts w:ascii="Arial" w:cs="Arial" w:eastAsia="Arial" w:hAnsi="Arial"/>
          <w:b w:val="false"/>
          <w:bCs w:val="false"/>
          <w:color w:val="1A1A2E"/>
          <w:sz w:val="22"/>
          <w:szCs w:val="22"/>
        </w:rPr>
        <w:t xml:space="preserve">Is pre-launch registration advisable, or is shortly after launch acceptable?</w:t>
      </w:r>
    </w:p>
    <w:p>
      <w:pPr>
        <w:spacing w:after="160" w:before="0"/>
      </w:pPr>
    </w:p>
    <w:p>
      <w:pPr>
        <w:pStyle w:val="Heading3"/>
        <w:spacing w:after="80" w:before="200"/>
      </w:pPr>
      <w:r>
        <w:rPr>
          <w:rFonts w:ascii="Arial" w:cs="Arial" w:eastAsia="Arial" w:hAnsi="Arial"/>
          <w:b/>
          <w:bCs/>
          <w:color w:val="1B3A5C"/>
          <w:sz w:val="22"/>
          <w:szCs w:val="22"/>
        </w:rPr>
        <w:t xml:space="preserve">Question 5 — Secondary Items (If Time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Minimum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Section 13 sets 18 as the minimum age. Lawyer to confirm this is the appropriate threshold given the health data collected, and whether any additional mechanism (age verification or parental consent) is required.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Accessibility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Does the Equality Act 2010 impose specific obligations on a health education web platform regarding accessibility, and are there any quick steps to take before launch?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Cookie consent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Confirm whether a cookie banner and separate cookie policy are required at launch, and if so, what the banner must say.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Business 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Note only — operating as a sole trader is the current structure. As revenue grows, transitioning to a limited company is worth discussing in a separate session.</w:t>
            </w:r>
          </w:p>
        </w:tc>
      </w:tr>
    </w:tbl>
    <w:p>
      <w:pPr>
        <w:spacing w:after="160" w:before="0"/>
      </w:pPr>
    </w:p>
    <w:p>
      <w:pPr>
        <w:pStyle w:val="Heading2"/>
        <w:spacing w:after="100" w:before="280"/>
      </w:pPr>
      <w:r>
        <w:rPr>
          <w:rFonts w:ascii="Arial" w:cs="Arial" w:eastAsia="Arial" w:hAnsi="Arial"/>
          <w:b/>
          <w:bCs/>
          <w:color w:val="2A7F7F"/>
          <w:sz w:val="24"/>
          <w:szCs w:val="24"/>
        </w:rPr>
        <w:t xml:space="preserve">Session Checklist — What to Bring</w:t>
      </w:r>
    </w:p>
    <w:p>
      <w:pPr>
        <w:pStyle w:val="ListParagraph"/>
        <w:numPr>
          <w:ilvl w:val="0"/>
          <w:numId w:val="2"/>
        </w:numPr>
        <w:spacing w:after="60" w:before="60"/>
      </w:pPr>
      <w:r>
        <w:rPr>
          <w:rFonts w:ascii="Arial" w:cs="Arial" w:eastAsia="Arial" w:hAnsi="Arial"/>
          <w:b w:val="false"/>
          <w:bCs w:val="false"/>
          <w:color w:val="1A1A2E"/>
          <w:sz w:val="22"/>
          <w:szCs w:val="22"/>
        </w:rPr>
        <w:t xml:space="preserve">This document (Document 10, all four parts)</w:t>
      </w:r>
    </w:p>
    <w:p>
      <w:pPr>
        <w:pStyle w:val="ListParagraph"/>
        <w:numPr>
          <w:ilvl w:val="0"/>
          <w:numId w:val="2"/>
        </w:numPr>
        <w:spacing w:after="60" w:before="60"/>
      </w:pPr>
      <w:r>
        <w:rPr>
          <w:rFonts w:ascii="Arial" w:cs="Arial" w:eastAsia="Arial" w:hAnsi="Arial"/>
          <w:b w:val="false"/>
          <w:bCs w:val="false"/>
          <w:color w:val="1A1A2E"/>
          <w:sz w:val="22"/>
          <w:szCs w:val="22"/>
        </w:rPr>
        <w:t xml:space="preserve">The original founding member commitment wording — exact text from landing page, email, or social post</w:t>
      </w:r>
    </w:p>
    <w:p>
      <w:pPr>
        <w:pStyle w:val="ListParagraph"/>
        <w:numPr>
          <w:ilvl w:val="0"/>
          <w:numId w:val="2"/>
        </w:numPr>
        <w:spacing w:after="60" w:before="60"/>
      </w:pPr>
      <w:r>
        <w:rPr>
          <w:rFonts w:ascii="Arial" w:cs="Arial" w:eastAsia="Arial" w:hAnsi="Arial"/>
          <w:b w:val="false"/>
          <w:bCs w:val="false"/>
          <w:color w:val="1A1A2E"/>
          <w:sz w:val="22"/>
          <w:szCs w:val="22"/>
        </w:rPr>
        <w:t xml:space="preserve">ICO registration confirmation (if completed before the session)</w:t>
      </w:r>
    </w:p>
    <w:p>
      <w:pPr>
        <w:pStyle w:val="ListParagraph"/>
        <w:numPr>
          <w:ilvl w:val="0"/>
          <w:numId w:val="2"/>
        </w:numPr>
        <w:spacing w:after="60" w:before="60"/>
      </w:pPr>
      <w:r>
        <w:rPr>
          <w:rFonts w:ascii="Arial" w:cs="Arial" w:eastAsia="Arial" w:hAnsi="Arial"/>
          <w:b w:val="false"/>
          <w:bCs w:val="false"/>
          <w:color w:val="1A1A2E"/>
          <w:sz w:val="22"/>
          <w:szCs w:val="22"/>
        </w:rPr>
        <w:t xml:space="preserve">Any existing privacy policy or cookie notice from the current V1 site</w:t>
      </w:r>
    </w:p>
    <w:p>
      <w:pPr>
        <w:pStyle w:val="ListParagraph"/>
        <w:numPr>
          <w:ilvl w:val="0"/>
          <w:numId w:val="2"/>
        </w:numPr>
        <w:spacing w:after="60" w:before="60"/>
      </w:pPr>
      <w:r>
        <w:rPr>
          <w:rFonts w:ascii="Arial" w:cs="Arial" w:eastAsia="Arial" w:hAnsi="Arial"/>
          <w:b w:val="false"/>
          <w:bCs w:val="false"/>
          <w:color w:val="1A1A2E"/>
          <w:sz w:val="22"/>
          <w:szCs w:val="22"/>
        </w:rPr>
        <w:t xml:space="preserve">Access to the live V1 site so the lawyer can see the current educational framing in context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7F" w:sz="6"/>
              <w:bottom w:val="single" w:color="2A7F7F" w:sz="6"/>
            </w:tcBorders>
            <w:shd w:fill="E8F4F4" w:val="clear"/>
            <w:tcMar>
              <w:top w:type="dxa" w:w="160"/>
              <w:left w:type="dxa" w:w="200"/>
              <w:bottom w:type="dxa" w:w="160"/>
              <w:right w:type="dxa" w:w="200"/>
            </w:tcMar>
          </w:tcPr>
          <w:p>
            <w:r>
              <w:rPr>
                <w:rFonts w:ascii="Arial" w:cs="Arial" w:eastAsia="Arial" w:hAnsi="Arial"/>
                <w:b/>
                <w:bCs/>
                <w:color w:val="2A7F7F"/>
                <w:sz w:val="22"/>
                <w:szCs w:val="22"/>
              </w:rPr>
              <w:t xml:space="preserve">What this session is not for</w:t>
            </w:r>
          </w:p>
          <w:p>
            <w:pPr>
              <w:spacing w:after="80" w:before="0"/>
            </w:pPr>
          </w:p>
          <w:p>
            <w:r>
              <w:rPr>
                <w:rFonts w:ascii="Arial" w:cs="Arial" w:eastAsia="Arial" w:hAnsi="Arial"/>
                <w:i/>
                <w:iCs/>
                <w:color w:val="1A1A2E"/>
                <w:sz w:val="20"/>
                <w:szCs w:val="20"/>
              </w:rPr>
              <w:t xml:space="preserve">Employment law, VAT registration, company formation, insurance, and broader business legal structure are all important but outside the scope of this session. These should be addressed separately as the platform grows. The one-hour session is entirely for the five questions above.</w:t>
            </w:r>
          </w:p>
        </w:tc>
      </w:tr>
    </w:tbl>
    <w:p>
      <w:pPr>
        <w:spacing w:after="200" w:before="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7F" w:sz="4" w:space="1"/>
      </w:pBdr>
      <w:spacing w:before="120"/>
    </w:pPr>
    <w:r>
      <w:rPr>
        <w:rFonts w:ascii="Arial" w:cs="Arial" w:eastAsia="Arial" w:hAnsi="Arial"/>
        <w:color w:val="95A5A6"/>
        <w:sz w:val="18"/>
        <w:szCs w:val="18"/>
      </w:rPr>
      <w:t xml:space="preserve">The Somatic Tinnitus Project  |  Document 10  |  Legal, Compliance &amp; Terms Draft  |  Stage 4 of 9     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A7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2026-04-16T18:30:25.218Z</dcterms:created>
  <dcterms:modified xsi:type="dcterms:W3CDTF">2026-04-16T18:30:25.219Z</dcterms:modified>
</cp:coreProperties>
</file>

<file path=docProps/custom.xml><?xml version="1.0" encoding="utf-8"?>
<Properties xmlns="http://schemas.openxmlformats.org/officeDocument/2006/custom-properties" xmlns:vt="http://schemas.openxmlformats.org/officeDocument/2006/docPropsVTypes"/>
</file>