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0A7C8C"/>
          <w:sz w:val="40"/>
          <w:szCs w:val="40"/>
        </w:rPr>
        <w:t xml:space="preserve">THE SOMATIC TINNITUS PROJECT</w:t>
      </w:r>
    </w:p>
    <w:p>
      <w:pPr>
        <w:spacing w:after="80" w:before="0"/>
        <w:jc w:val="center"/>
      </w:pPr>
      <w:r>
        <w:rPr>
          <w:rFonts w:ascii="Arial" w:cs="Arial" w:eastAsia="Arial" w:hAnsi="Arial"/>
          <w:b w:val="false"/>
          <w:bCs w:val="false"/>
          <w:color w:val="555555"/>
          <w:sz w:val="28"/>
          <w:szCs w:val="28"/>
        </w:rPr>
        <w:t xml:space="preserve">Framework Session Content</w:t>
      </w:r>
    </w:p>
    <w:p>
      <w:pPr>
        <w:spacing w:after="400" w:before="0"/>
        <w:jc w:val="center"/>
      </w:pPr>
      <w:r>
        <w:rPr>
          <w:rFonts w:ascii="Arial" w:cs="Arial" w:eastAsia="Arial" w:hAnsi="Arial"/>
          <w:i/>
          <w:iCs/>
          <w:color w:val="555555"/>
          <w:sz w:val="22"/>
          <w:szCs w:val="22"/>
        </w:rPr>
        <w:t xml:space="preserve">Document 8 — Stage 2 Output — Phase 2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00"/>
              <w:bottom w:type="dxa" w:w="160"/>
              <w:right w:type="dxa" w:w="200"/>
            </w:tcMar>
          </w:tcPr>
          <w:p>
            <w:pPr>
              <w:spacing w:after="80" w:before="0"/>
            </w:pPr>
            <w:r>
              <w:rPr>
                <w:rFonts w:ascii="Arial" w:cs="Arial" w:eastAsia="Arial" w:hAnsi="Arial"/>
                <w:b/>
                <w:bCs/>
                <w:color w:val="0A7C8C"/>
                <w:sz w:val="22"/>
                <w:szCs w:val="22"/>
              </w:rPr>
              <w:t xml:space="preserve">About This Document</w:t>
            </w:r>
          </w:p>
          <w:p>
            <w:pPr>
              <w:spacing w:after="0" w:before="0"/>
            </w:pPr>
            <w:r>
              <w:rPr>
                <w:rFonts w:ascii="Arial" w:cs="Arial" w:eastAsia="Arial" w:hAnsi="Arial"/>
                <w:color w:val="555555"/>
                <w:sz w:val="20"/>
                <w:szCs w:val="20"/>
              </w:rPr>
              <w:t xml:space="preserve">This document contains the complete member-facing written content for Phase 2 of the V2 framework — Lifestyle Foundations. Every word a member reads across all Phase 2 sessions is written here before a line of code is written. All section decisions, content structures, personalisation logic, habit entries, and daily focus lines are locked and recorded in this document alongside the member-facing content. Phase 2 content is Part C of Document 8. Parts A and B (locked decisions and Phase 1 content) are in the companion Phase 1 document.</w:t>
            </w:r>
          </w:p>
        </w:tc>
      </w:tr>
    </w:tbl>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0A7C8C"/>
          <w:sz w:val="36"/>
          <w:szCs w:val="36"/>
        </w:rPr>
        <w:t xml:space="preserve">Part C — Phase 2: Lifestyle Foundations</w:t>
      </w:r>
    </w:p>
    <w:p>
      <w:pPr>
        <w:spacing w:after="80" w:before="80"/>
        <w:jc w:val="left"/>
      </w:pPr>
      <w:r>
        <w:rPr>
          <w:rFonts w:ascii="Arial" w:cs="Arial" w:eastAsia="Arial" w:hAnsi="Arial"/>
          <w:b w:val="false"/>
          <w:bCs w:val="false"/>
          <w:i/>
          <w:iCs/>
          <w:color w:val="555555"/>
          <w:sz w:val="22"/>
          <w:szCs w:val="22"/>
        </w:rPr>
        <w:t xml:space="preserve">Complete member-facing written content for all Phase 2 sessions. All text is final and locked unless a scientific accuracy issue is identified. Mechanism notes and system notes are shown in boxes — these are internal references, not member-facing text.</w:t>
      </w:r>
    </w:p>
    <w:p>
      <w:pPr>
        <w:spacing w:after="60" w:before="60"/>
      </w:pPr>
      <w:r>
        <w:t xml:space="preserve"/>
      </w:r>
    </w:p>
    <w:p>
      <w:pPr>
        <w:pBdr>
          <w:bottom w:val="single" w:color="0A7C8C" w:sz="4" w:space="1"/>
        </w:pBdr>
        <w:spacing w:after="200" w:before="200"/>
      </w:pPr>
      <w:r>
        <w:t xml:space="preserve"/>
      </w:r>
    </w:p>
    <w:p>
      <w:pPr>
        <w:pStyle w:val="Heading2"/>
        <w:spacing w:after="120" w:before="240"/>
      </w:pPr>
      <w:r>
        <w:rPr>
          <w:rFonts w:ascii="Arial" w:cs="Arial" w:eastAsia="Arial" w:hAnsi="Arial"/>
          <w:b/>
          <w:bCs/>
          <w:color w:val="2D2D2D"/>
          <w:sz w:val="28"/>
          <w:szCs w:val="28"/>
        </w:rPr>
        <w:t xml:space="preserve">C.1 — Opening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8C" w:sz="1"/>
              <w:left w:val="single" w:color="0A7C8C" w:sz="1"/>
              <w:bottom w:val="single" w:color="0A7C8C" w:sz="1"/>
              <w:right w:val="single" w:color="0A7C8C" w:sz="1"/>
            </w:tcBorders>
            <w:shd w:fill="E8F5F7" w:val="clear"/>
            <w:tcMar>
              <w:top w:type="dxa" w:w="120"/>
              <w:left w:type="dxa" w:w="180"/>
              <w:bottom w:type="dxa" w:w="120"/>
              <w:right w:type="dxa" w:w="180"/>
            </w:tcMar>
          </w:tcPr>
          <w:p>
            <w:pPr>
              <w:spacing w:after="0" w:before="0"/>
              <w:jc w:val="center"/>
            </w:pPr>
            <w:r>
              <w:rPr>
                <w:rFonts w:ascii="Arial" w:cs="Arial" w:eastAsia="Arial" w:hAnsi="Arial"/>
                <w:b/>
                <w:bCs/>
                <w:color w:val="0A7C8C"/>
                <w:sz w:val="20"/>
                <w:szCs w:val="20"/>
              </w:rPr>
              <w:t xml:space="preserve">Daily Focus — </w:t>
            </w:r>
            <w:r>
              <w:rPr>
                <w:rFonts w:ascii="Arial" w:cs="Arial" w:eastAsia="Arial" w:hAnsi="Arial"/>
                <w:i/>
                <w:iCs/>
                <w:color w:val="555555"/>
                <w:sz w:val="20"/>
                <w:szCs w:val="20"/>
              </w:rPr>
              <w:t xml:space="preserve">Clear the path before the protocol begins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System Note</w:t>
            </w:r>
          </w:p>
          <w:p>
            <w:pPr>
              <w:spacing w:after="0" w:before="0"/>
            </w:pPr>
            <w:r>
              <w:rPr>
                <w:rFonts w:ascii="Arial" w:cs="Arial" w:eastAsia="Arial" w:hAnsi="Arial"/>
                <w:i/>
                <w:iCs/>
                <w:color w:val="555555"/>
                <w:sz w:val="20"/>
                <w:szCs w:val="20"/>
              </w:rPr>
              <w:t xml:space="preserve">All members read this section when Phase 2 unlocks immediately after profile generation. Profile callback and confirmed flag list are dynamically populated from framework_progress and phase1_assessment tables.</w:t>
            </w:r>
          </w:p>
        </w:tc>
      </w:tr>
    </w:tbl>
    <w:p>
      <w:pPr>
        <w:spacing w:after="60" w:before="60"/>
      </w:pPr>
      <w:r>
        <w:t xml:space="preserve"/>
      </w:r>
    </w:p>
    <w:p>
      <w:pPr>
        <w:spacing w:after="80" w:before="200"/>
      </w:pPr>
      <w:r>
        <w:rPr>
          <w:rFonts w:ascii="Arial" w:cs="Arial" w:eastAsia="Arial" w:hAnsi="Arial"/>
          <w:b/>
          <w:bCs/>
          <w:color w:val="2D2D2D"/>
          <w:sz w:val="24"/>
          <w:szCs w:val="24"/>
        </w:rPr>
        <w:t xml:space="preserve">Clearing the Path</w:t>
      </w:r>
    </w:p>
    <w:p>
      <w:pPr>
        <w:spacing w:after="80" w:before="80"/>
        <w:jc w:val="left"/>
      </w:pPr>
      <w:r>
        <w:rPr>
          <w:rFonts w:ascii="Arial" w:cs="Arial" w:eastAsia="Arial" w:hAnsi="Arial"/>
          <w:b w:val="false"/>
          <w:bCs w:val="false"/>
          <w:i w:val="false"/>
          <w:iCs w:val="false"/>
          <w:color w:val="2D2D2D"/>
          <w:sz w:val="22"/>
          <w:szCs w:val="22"/>
        </w:rPr>
        <w:t xml:space="preserve">Your Phase 1 assessment identified your driver profile — [single jaw driver / single cervical driver / dual primary drivers / primary with strong secondary / primary with secondary]. Before the targeted protocol work begins, Phase 2 addresses something equally important: the daily patterns that are continuously reloading tension into the same structures your protocol will be working to reduce.</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Protocol work and unaddressed daily habits work against each other. Someone doing excellent jaw release work while habitually clenching through every desk session is draining tension in the evening and rebuilding it the next morning. Someone running the cervical protocol while sleeping on their stomach every night is doing the same thing in reverse. Phase 2 exists to close that gap before it becomes a problem.</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Your Phase 1 assessment flagged the following maintaining factors as confirmed for you: [list confirmed flags — e.g. sustained desk load / stomach sleeping / jaw tension during concentration / elevated left shoulder]. These get specific attention in what follows — Phase 2 content expands on each confirmed flag rather than treating it as a checkbox.</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Work through this at your own pace. There is no time requirement and no minimum duration. Phase 3 unlocks when you have confirmed that the maintaining factors relevant to your profile are genuinely addressed — not when a timer runs out.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System Note</w:t>
            </w:r>
          </w:p>
          <w:p>
            <w:pPr>
              <w:spacing w:after="0" w:before="0"/>
            </w:pPr>
            <w:r>
              <w:rPr>
                <w:rFonts w:ascii="Arial" w:cs="Arial" w:eastAsia="Arial" w:hAnsi="Arial"/>
                <w:i/>
                <w:iCs/>
                <w:color w:val="555555"/>
                <w:sz w:val="20"/>
                <w:szCs w:val="20"/>
              </w:rPr>
              <w:t xml:space="preserve">Profile callback pulls protocol_option and profile_type from framework_progress. Confirmed flag list pulls from phase1_assessment maintaining factor columns. Members with no confirmed flags see a modified version of the third paragraph: "Your Phase 1 assessment did not identify significant maintaining factors — Phase 2 still covers the foundational habits, diet, and sleep content that supports Phase 3 work."</w:t>
            </w:r>
          </w:p>
        </w:tc>
      </w:tr>
    </w:tbl>
    <w:p>
      <w:pPr>
        <w:spacing w:after="60" w:before="60"/>
      </w:pPr>
      <w:r>
        <w:t xml:space="preserve"/>
      </w:r>
    </w:p>
    <w:p>
      <w:pPr>
        <w:pBdr>
          <w:bottom w:val="single" w:color="0A7C8C" w:sz="4" w:space="1"/>
        </w:pBdr>
        <w:spacing w:after="200" w:before="200"/>
      </w:pPr>
      <w:r>
        <w:t xml:space="preserve"/>
      </w:r>
    </w:p>
    <w:p>
      <w:pPr>
        <w:pStyle w:val="Heading2"/>
        <w:spacing w:after="120" w:before="240"/>
      </w:pPr>
      <w:r>
        <w:rPr>
          <w:rFonts w:ascii="Arial" w:cs="Arial" w:eastAsia="Arial" w:hAnsi="Arial"/>
          <w:b/>
          <w:bCs/>
          <w:color w:val="2D2D2D"/>
          <w:sz w:val="28"/>
          <w:szCs w:val="28"/>
        </w:rPr>
        <w:t xml:space="preserve">C.2 — Habits Audit: Jaw-Specific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8C" w:sz="1"/>
              <w:left w:val="single" w:color="0A7C8C" w:sz="1"/>
              <w:bottom w:val="single" w:color="0A7C8C" w:sz="1"/>
              <w:right w:val="single" w:color="0A7C8C" w:sz="1"/>
            </w:tcBorders>
            <w:shd w:fill="E8F5F7" w:val="clear"/>
            <w:tcMar>
              <w:top w:type="dxa" w:w="120"/>
              <w:left w:type="dxa" w:w="180"/>
              <w:bottom w:type="dxa" w:w="120"/>
              <w:right w:type="dxa" w:w="180"/>
            </w:tcMar>
          </w:tcPr>
          <w:p>
            <w:pPr>
              <w:spacing w:after="0" w:before="0"/>
              <w:jc w:val="center"/>
            </w:pPr>
            <w:r>
              <w:rPr>
                <w:rFonts w:ascii="Arial" w:cs="Arial" w:eastAsia="Arial" w:hAnsi="Arial"/>
                <w:b/>
                <w:bCs/>
                <w:color w:val="0A7C8C"/>
                <w:sz w:val="20"/>
                <w:szCs w:val="20"/>
              </w:rPr>
              <w:t xml:space="preserve">Daily Focus — </w:t>
            </w:r>
            <w:r>
              <w:rPr>
                <w:rFonts w:ascii="Arial" w:cs="Arial" w:eastAsia="Arial" w:hAnsi="Arial"/>
                <w:i/>
                <w:iCs/>
                <w:color w:val="555555"/>
                <w:sz w:val="20"/>
                <w:szCs w:val="20"/>
              </w:rPr>
              <w:t xml:space="preserve">Identify the daily patterns working against your progress</w:t>
            </w:r>
          </w:p>
        </w:tc>
      </w:tr>
    </w:tbl>
    <w:p>
      <w:pPr>
        <w:spacing w:after="60" w:before="60"/>
      </w:pPr>
      <w:r>
        <w:t xml:space="preserve"/>
      </w:r>
    </w:p>
    <w:p>
      <w:pPr>
        <w:spacing w:after="80" w:before="80"/>
        <w:jc w:val="left"/>
      </w:pPr>
      <w:r>
        <w:rPr>
          <w:rFonts w:ascii="Arial" w:cs="Arial" w:eastAsia="Arial" w:hAnsi="Arial"/>
          <w:b w:val="false"/>
          <w:bCs w:val="false"/>
          <w:i/>
          <w:iCs/>
          <w:color w:val="2D2D2D"/>
          <w:sz w:val="22"/>
          <w:szCs w:val="22"/>
        </w:rPr>
        <w:t xml:space="preserve">Work through each habit below. For habits marked "Flagged for your profile," your Phase 1 assessment identified this as an active maintaining factor in your specific case — it warrants particular attention.</w:t>
      </w:r>
    </w:p>
    <w:p>
      <w:pPr>
        <w:spacing w:after="60" w:before="60"/>
      </w:pPr>
      <w:r>
        <w:t xml:space="preserve"/>
      </w:r>
    </w:p>
    <w:p>
      <w:pPr>
        <w:spacing w:after="60" w:before="60"/>
      </w:pPr>
      <w:r>
        <w:t xml:space="preserve"/>
      </w:r>
    </w:p>
    <w:p>
      <w:pPr>
        <w:spacing w:after="80" w:before="200"/>
      </w:pPr>
      <w:r>
        <w:rPr>
          <w:rFonts w:ascii="Arial" w:cs="Arial" w:eastAsia="Arial" w:hAnsi="Arial"/>
          <w:b/>
          <w:bCs/>
          <w:color w:val="2D2D2D"/>
          <w:sz w:val="24"/>
          <w:szCs w:val="24"/>
        </w:rPr>
        <w:t xml:space="preserve">1. Resting Jaw Position</w:t>
      </w:r>
    </w:p>
    <w:p>
      <w:pPr>
        <w:spacing w:after="80" w:before="80"/>
        <w:jc w:val="left"/>
      </w:pPr>
      <w:r>
        <w:rPr>
          <w:rFonts w:ascii="Arial" w:cs="Arial" w:eastAsia="Arial" w:hAnsi="Arial"/>
          <w:b w:val="false"/>
          <w:bCs w:val="false"/>
          <w:i w:val="false"/>
          <w:iCs w:val="false"/>
          <w:color w:val="2D2D2D"/>
          <w:sz w:val="22"/>
          <w:szCs w:val="22"/>
        </w:rPr>
        <w:t xml:space="preserve">Most people have never thought about where their jaw sits when they are not using it. The default for a large proportion of the population — particularly those with jaw tension — is teeth lightly touching or in contact at rest. This feels normal because it is habitual, but it is not neutral.</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The correct resting jaw position is: tongue resting on the roof of the mouth, lips together, teeth slightly apart. Not held open — just not in contact. This position keeps the masseter and pterygoid muscles in their true resting state rather than maintaining low-level activation throughout the day.</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Teeth-together resting position is one of the most persistent sources of background jaw loading. It requires no conscious effort to maintain — which is exactly why it continues unnoticed for years. Becoming aware of it is the first step. Interrupting it when you notice it is the second.</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Phase 3 covers resting position retraining in full — building the habit so it becomes automatic rather than requiring constant conscious attention. For now, the goal is awareness: notice when your teeth are in contact at rest and release.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Mechanism</w:t>
            </w:r>
          </w:p>
          <w:p>
            <w:pPr>
              <w:spacing w:after="0" w:before="0"/>
            </w:pPr>
            <w:r>
              <w:rPr>
                <w:rFonts w:ascii="Arial" w:cs="Arial" w:eastAsia="Arial" w:hAnsi="Arial"/>
                <w:i/>
                <w:iCs/>
                <w:color w:val="555555"/>
                <w:sz w:val="20"/>
                <w:szCs w:val="20"/>
              </w:rPr>
              <w:t xml:space="preserve">Continuous low-level masseter and pterygoid activation maintains elevated muscle tone throughout the day. Every hour of teeth-together resting position is an hour of abnormal trigeminal input into the auditory pathway — not from a single high-load event but from sustained background activation accumulating across the entire day.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0" w:before="0"/>
              <w:jc w:val="center"/>
            </w:pPr>
            <w:r>
              <w:rPr>
                <w:rFonts w:ascii="Arial" w:cs="Arial" w:eastAsia="Arial" w:hAnsi="Arial"/>
                <w:i/>
                <w:iCs/>
                <w:color w:val="555555"/>
                <w:sz w:val="20"/>
                <w:szCs w:val="20"/>
              </w:rPr>
              <w:t xml:space="preserve">I understand this habit and what I need to change  </w:t>
            </w:r>
            <w:r>
              <w:rPr>
                <w:rFonts w:ascii="Arial" w:cs="Arial" w:eastAsia="Arial" w:hAnsi="Arial"/>
                <w:b/>
                <w:bCs/>
                <w:color w:val="0A7C8C"/>
                <w:sz w:val="20"/>
                <w:szCs w:val="20"/>
              </w:rPr>
              <w:t xml:space="preserve">[ Acknowledge ]</w:t>
            </w:r>
          </w:p>
        </w:tc>
      </w:tr>
    </w:tbl>
    <w:p>
      <w:pPr>
        <w:spacing w:after="60" w:before="60"/>
      </w:pPr>
      <w:r>
        <w:t xml:space="preserve"/>
      </w:r>
    </w:p>
    <w:p>
      <w:pPr>
        <w:spacing w:after="80" w:before="200"/>
      </w:pPr>
      <w:r>
        <w:rPr>
          <w:rFonts w:ascii="Arial" w:cs="Arial" w:eastAsia="Arial" w:hAnsi="Arial"/>
          <w:b/>
          <w:bCs/>
          <w:color w:val="2D2D2D"/>
          <w:sz w:val="24"/>
          <w:szCs w:val="24"/>
        </w:rPr>
        <w:t xml:space="preserve">2. Jaw Clenching During Concentration, Driving, or Screen Use</w:t>
      </w:r>
    </w:p>
    <w:p>
      <w:pPr>
        <w:spacing w:after="80" w:before="80"/>
        <w:jc w:val="left"/>
      </w:pPr>
      <w:r>
        <w:rPr>
          <w:rFonts w:ascii="Arial" w:cs="Arial" w:eastAsia="Arial" w:hAnsi="Arial"/>
          <w:b w:val="false"/>
          <w:bCs w:val="false"/>
          <w:i w:val="false"/>
          <w:iCs w:val="false"/>
          <w:color w:val="2D2D2D"/>
          <w:sz w:val="22"/>
          <w:szCs w:val="22"/>
        </w:rPr>
        <w:t xml:space="preserve">Jaw clenching during focused activity is one of the most common and least noticed jaw habits. Most people who clench do so without any awareness — it surfaces only when they consciously check, or when they notice jaw fatigue or soreness after a long desk session or drive.</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The contexts most associated with unconscious clenching are: sustained concentration, driving, screen use, physical effort, and stress. In each case the jaw tension is a physical expression of mental or physical load — the body bracing in a pattern that has become habitual.</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The intervention here is awareness and interruption. Regularly checking jaw tension during these activities — particularly desk work and driving — and consciously releasing when clenching is found. Some people find it useful to set a reminder during their first few weeks of Phase 2 to prompt the check.</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Note: if your Phase 1 assessment identified morning jaw soreness or reported unconscious clenching, nocturnal bruxism — clenching or grinding during sleep — may also be a factor. That is addressed separately in Phase 3. This habit entry covers the waking pattern.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Mechanism</w:t>
            </w:r>
          </w:p>
          <w:p>
            <w:pPr>
              <w:spacing w:after="0" w:before="0"/>
            </w:pPr>
            <w:r>
              <w:rPr>
                <w:rFonts w:ascii="Arial" w:cs="Arial" w:eastAsia="Arial" w:hAnsi="Arial"/>
                <w:i/>
                <w:iCs/>
                <w:color w:val="555555"/>
                <w:sz w:val="20"/>
                <w:szCs w:val="20"/>
              </w:rPr>
              <w:t xml:space="preserve">Sustained clenching during concentration produces repeated high-load masticatory muscle activation across hours of daily activity. Unlike gum chewing, which involves rhythmic movement, concentration clenching often involves sustained static contraction — the muscle held under tension without movement, which is mechanically more loading than dynamic use.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0" w:before="0"/>
              <w:jc w:val="center"/>
            </w:pPr>
            <w:r>
              <w:rPr>
                <w:rFonts w:ascii="Arial" w:cs="Arial" w:eastAsia="Arial" w:hAnsi="Arial"/>
                <w:i/>
                <w:iCs/>
                <w:color w:val="555555"/>
                <w:sz w:val="20"/>
                <w:szCs w:val="20"/>
              </w:rPr>
              <w:t xml:space="preserve">I understand this habit and what I need to change  </w:t>
            </w:r>
            <w:r>
              <w:rPr>
                <w:rFonts w:ascii="Arial" w:cs="Arial" w:eastAsia="Arial" w:hAnsi="Arial"/>
                <w:b/>
                <w:bCs/>
                <w:color w:val="0A7C8C"/>
                <w:sz w:val="20"/>
                <w:szCs w:val="20"/>
              </w:rPr>
              <w:t xml:space="preserve">[ Acknowledge ]</w:t>
            </w:r>
          </w:p>
        </w:tc>
      </w:tr>
    </w:tbl>
    <w:p>
      <w:pPr>
        <w:spacing w:after="60" w:before="60"/>
      </w:pPr>
      <w:r>
        <w:t xml:space="preserve"/>
      </w:r>
    </w:p>
    <w:p>
      <w:pPr>
        <w:spacing w:after="80" w:before="200"/>
      </w:pPr>
      <w:r>
        <w:rPr>
          <w:rFonts w:ascii="Arial" w:cs="Arial" w:eastAsia="Arial" w:hAnsi="Arial"/>
          <w:b/>
          <w:bCs/>
          <w:color w:val="2D2D2D"/>
          <w:sz w:val="24"/>
          <w:szCs w:val="24"/>
        </w:rPr>
        <w:t xml:space="preserve">3. Habitual Gum Chewing</w:t>
      </w:r>
    </w:p>
    <w:p>
      <w:pPr>
        <w:spacing w:after="80" w:before="80"/>
        <w:jc w:val="left"/>
      </w:pPr>
      <w:r>
        <w:rPr>
          <w:rFonts w:ascii="Arial" w:cs="Arial" w:eastAsia="Arial" w:hAnsi="Arial"/>
          <w:b w:val="false"/>
          <w:bCs w:val="false"/>
          <w:i w:val="false"/>
          <w:iCs w:val="false"/>
          <w:color w:val="2D2D2D"/>
          <w:sz w:val="22"/>
          <w:szCs w:val="22"/>
        </w:rPr>
        <w:t xml:space="preserve">Gum chewing is the most mechanically straightforward jaw habit on this list. Repeated rhythmic bilateral or unilateral jaw movement for extended periods directly fatigues the masticatory muscles and loads the TMJ. For members with confirmed jaw driver involvement, habitual gum chewing is an active maintaining factor with a clear and direct mechanism.</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The relevant variable is duration and frequency, not occasional use. A piece of gum after a meal is not the same as habitual chewing throughout the working day. If gum chewing is a regular daily habit — multiple pieces, extended sessions — reducing or eliminating it during Phase 3 is worth treating as a priority.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Mechanism</w:t>
            </w:r>
          </w:p>
          <w:p>
            <w:pPr>
              <w:spacing w:after="0" w:before="0"/>
            </w:pPr>
            <w:r>
              <w:rPr>
                <w:rFonts w:ascii="Arial" w:cs="Arial" w:eastAsia="Arial" w:hAnsi="Arial"/>
                <w:i/>
                <w:iCs/>
                <w:color w:val="555555"/>
                <w:sz w:val="20"/>
                <w:szCs w:val="20"/>
              </w:rPr>
              <w:t xml:space="preserve">Rhythmic masticatory muscle contraction over extended periods maintains elevated muscle tone and joint loading. The TMJ disc and surrounding soft tissue receive continuous mechanical stress during prolonged chewing. For members with pterygoid tenderness or joint sounds, gum chewing directly aggravates the already sensitised structures.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0" w:before="0"/>
              <w:jc w:val="center"/>
            </w:pPr>
            <w:r>
              <w:rPr>
                <w:rFonts w:ascii="Arial" w:cs="Arial" w:eastAsia="Arial" w:hAnsi="Arial"/>
                <w:i/>
                <w:iCs/>
                <w:color w:val="555555"/>
                <w:sz w:val="20"/>
                <w:szCs w:val="20"/>
              </w:rPr>
              <w:t xml:space="preserve">I understand this habit and what I need to change  </w:t>
            </w:r>
            <w:r>
              <w:rPr>
                <w:rFonts w:ascii="Arial" w:cs="Arial" w:eastAsia="Arial" w:hAnsi="Arial"/>
                <w:b/>
                <w:bCs/>
                <w:color w:val="0A7C8C"/>
                <w:sz w:val="20"/>
                <w:szCs w:val="20"/>
              </w:rPr>
              <w:t xml:space="preserve">[ Acknowledge ]</w:t>
            </w:r>
          </w:p>
        </w:tc>
      </w:tr>
    </w:tbl>
    <w:p>
      <w:pPr>
        <w:spacing w:after="60" w:before="60"/>
      </w:pPr>
      <w:r>
        <w:t xml:space="preserve"/>
      </w:r>
    </w:p>
    <w:p>
      <w:pPr>
        <w:spacing w:after="80" w:before="200"/>
      </w:pPr>
      <w:r>
        <w:rPr>
          <w:rFonts w:ascii="Arial" w:cs="Arial" w:eastAsia="Arial" w:hAnsi="Arial"/>
          <w:b/>
          <w:bCs/>
          <w:color w:val="2D2D2D"/>
          <w:sz w:val="24"/>
          <w:szCs w:val="24"/>
        </w:rPr>
        <w:t xml:space="preserve">4. Nail Biting and Object Chewing</w:t>
      </w:r>
    </w:p>
    <w:p>
      <w:pPr>
        <w:spacing w:after="80" w:before="80"/>
        <w:jc w:val="left"/>
      </w:pPr>
      <w:r>
        <w:rPr>
          <w:rFonts w:ascii="Arial" w:cs="Arial" w:eastAsia="Arial" w:hAnsi="Arial"/>
          <w:b w:val="false"/>
          <w:bCs w:val="false"/>
          <w:i w:val="false"/>
          <w:iCs w:val="false"/>
          <w:color w:val="2D2D2D"/>
          <w:sz w:val="22"/>
          <w:szCs w:val="22"/>
        </w:rPr>
        <w:t xml:space="preserve">Nail biting, pen chewing, chewing the inside of the cheek, or habitually biting other objects — phone cases, glasses arms, food packaging — all involve the same basic mechanism as gum chewing but are often more unconscious and therefore harder to interrupt.</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These habits tend to cluster with concentration and anxiety — they are often stress-linked behaviours that have become automatic. The mechanical loading they produce is real regardless of their psychological function. Awareness is the starting point. Substitution — replacing the habit with something that does not load the jaw — is often more effective than simple elimination.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Mechanism</w:t>
            </w:r>
          </w:p>
          <w:p>
            <w:pPr>
              <w:spacing w:after="0" w:before="0"/>
            </w:pPr>
            <w:r>
              <w:rPr>
                <w:rFonts w:ascii="Arial" w:cs="Arial" w:eastAsia="Arial" w:hAnsi="Arial"/>
                <w:i/>
                <w:iCs/>
                <w:color w:val="555555"/>
                <w:sz w:val="20"/>
                <w:szCs w:val="20"/>
              </w:rPr>
              <w:t xml:space="preserve">Object biting loads the pterygoid muscles and TMJ in patterns that are often asymmetric — nail biting in particular tends to favour one side. Repeated asymmetric loading reinforces the same muscular imbalances that the Phase 3 protocol is working to correct.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0" w:before="0"/>
              <w:jc w:val="center"/>
            </w:pPr>
            <w:r>
              <w:rPr>
                <w:rFonts w:ascii="Arial" w:cs="Arial" w:eastAsia="Arial" w:hAnsi="Arial"/>
                <w:i/>
                <w:iCs/>
                <w:color w:val="555555"/>
                <w:sz w:val="20"/>
                <w:szCs w:val="20"/>
              </w:rPr>
              <w:t xml:space="preserve">I understand this habit and what I need to change  </w:t>
            </w:r>
            <w:r>
              <w:rPr>
                <w:rFonts w:ascii="Arial" w:cs="Arial" w:eastAsia="Arial" w:hAnsi="Arial"/>
                <w:b/>
                <w:bCs/>
                <w:color w:val="0A7C8C"/>
                <w:sz w:val="20"/>
                <w:szCs w:val="20"/>
              </w:rPr>
              <w:t xml:space="preserve">[ Acknowledge ]</w:t>
            </w:r>
          </w:p>
        </w:tc>
      </w:tr>
    </w:tbl>
    <w:p>
      <w:pPr>
        <w:spacing w:after="60" w:before="60"/>
      </w:pPr>
      <w:r>
        <w:t xml:space="preserve"/>
      </w:r>
    </w:p>
    <w:p>
      <w:pPr>
        <w:spacing w:after="80" w:before="200"/>
      </w:pPr>
      <w:r>
        <w:rPr>
          <w:rFonts w:ascii="Arial" w:cs="Arial" w:eastAsia="Arial" w:hAnsi="Arial"/>
          <w:b/>
          <w:bCs/>
          <w:color w:val="2D2D2D"/>
          <w:sz w:val="24"/>
          <w:szCs w:val="24"/>
        </w:rPr>
        <w:t xml:space="preserve">5. Unilateral Chewing</w:t>
      </w:r>
    </w:p>
    <w:p>
      <w:pPr>
        <w:spacing w:after="80" w:before="80"/>
        <w:jc w:val="left"/>
      </w:pPr>
      <w:r>
        <w:rPr>
          <w:rFonts w:ascii="Arial" w:cs="Arial" w:eastAsia="Arial" w:hAnsi="Arial"/>
          <w:b w:val="false"/>
          <w:bCs w:val="false"/>
          <w:i w:val="false"/>
          <w:iCs w:val="false"/>
          <w:color w:val="2D2D2D"/>
          <w:sz w:val="22"/>
          <w:szCs w:val="22"/>
        </w:rPr>
        <w:t xml:space="preserve">Most people have a habitual chewing side without being aware of it. Food gets moved automatically to the preferred side, chewing happens predominantly on one side, and the other side is used less. Over time this reinforces masseter overdevelopment and pterygoid asymmetry on the dominant side — the same asymmetric pattern that Phase 3 works to correct.</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The habit change here is conscious bilateral alternation during meals — making an active effort to use both sides rather than defaulting to the preferred one. This is easier to maintain at the start of a meal when attention is fresh and harder as the meal progresses. Consistency matters more than perfection.</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If your Phase 1 assessment identified a dominant chewing side alongside masseter asymmetry, these two findings together confirm the mechanical cause of that asymmetry. Addressing the habit directly reduces the daily input that is maintaining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Mechanism</w:t>
            </w:r>
          </w:p>
          <w:p>
            <w:pPr>
              <w:spacing w:after="0" w:before="0"/>
            </w:pPr>
            <w:r>
              <w:rPr>
                <w:rFonts w:ascii="Arial" w:cs="Arial" w:eastAsia="Arial" w:hAnsi="Arial"/>
                <w:i/>
                <w:iCs/>
                <w:color w:val="555555"/>
                <w:sz w:val="20"/>
                <w:szCs w:val="20"/>
              </w:rPr>
              <w:t xml:space="preserve">Consistent unilateral chewing produces asymmetric masseter hypertrophy and pterygoid loading. The dominant side receives a disproportionate share of total daily chewing load, maintaining the muscular imbalance and asymmetric trigeminal input that drives lateralised jaw-origin tinnitus.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0" w:before="0"/>
              <w:jc w:val="center"/>
            </w:pPr>
            <w:r>
              <w:rPr>
                <w:rFonts w:ascii="Arial" w:cs="Arial" w:eastAsia="Arial" w:hAnsi="Arial"/>
                <w:i/>
                <w:iCs/>
                <w:color w:val="555555"/>
                <w:sz w:val="20"/>
                <w:szCs w:val="20"/>
              </w:rPr>
              <w:t xml:space="preserve">I understand this habit and what I need to change  </w:t>
            </w:r>
            <w:r>
              <w:rPr>
                <w:rFonts w:ascii="Arial" w:cs="Arial" w:eastAsia="Arial" w:hAnsi="Arial"/>
                <w:b/>
                <w:bCs/>
                <w:color w:val="0A7C8C"/>
                <w:sz w:val="20"/>
                <w:szCs w:val="20"/>
              </w:rPr>
              <w:t xml:space="preserve">[ Acknowledge ]</w:t>
            </w:r>
          </w:p>
        </w:tc>
      </w:tr>
    </w:tbl>
    <w:p>
      <w:pPr>
        <w:spacing w:after="60" w:before="60"/>
      </w:pPr>
      <w:r>
        <w:t xml:space="preserve"/>
      </w:r>
    </w:p>
    <w:p>
      <w:pPr>
        <w:spacing w:after="80" w:before="200"/>
      </w:pPr>
      <w:r>
        <w:rPr>
          <w:rFonts w:ascii="Arial" w:cs="Arial" w:eastAsia="Arial" w:hAnsi="Arial"/>
          <w:b/>
          <w:bCs/>
          <w:color w:val="2D2D2D"/>
          <w:sz w:val="24"/>
          <w:szCs w:val="24"/>
        </w:rPr>
        <w:t xml:space="preserve">6. Jaw Posturing Habits</w:t>
      </w:r>
    </w:p>
    <w:p>
      <w:pPr>
        <w:spacing w:after="80" w:before="80"/>
        <w:jc w:val="left"/>
      </w:pPr>
      <w:r>
        <w:rPr>
          <w:rFonts w:ascii="Arial" w:cs="Arial" w:eastAsia="Arial" w:hAnsi="Arial"/>
          <w:b w:val="false"/>
          <w:bCs w:val="false"/>
          <w:i w:val="false"/>
          <w:iCs w:val="false"/>
          <w:color w:val="2D2D2D"/>
          <w:sz w:val="22"/>
          <w:szCs w:val="22"/>
        </w:rPr>
        <w:t xml:space="preserve">Two specific posturing habits are worth checking for:</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Resting chin on hand — sitting at a desk or reading with the chin resting in the palm or on fingers places direct external load on the mandible, compressing the TMJ and altering its resting position. It is a posture that feels comfortable but is mechanically significant for the joint.</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Jaw bracing during physical effort — clenching or setting the jaw during exercise, heavy lifting, or sport. This is a common pattern and largely unconscious. The jaw brace during a heavy set at the gym or during intense sport produces significant masticatory muscle contraction that accumulates across training sessions.</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Both habits are worth checking for and interrupting when noticed.</w:t>
      </w:r>
    </w:p>
    <w:p>
      <w:pPr>
        <w:spacing w:after="60" w:before="60"/>
      </w:pPr>
      <w:r>
        <w:t xml:space="preserve"/>
      </w:r>
    </w:p>
    <w:p>
      <w:pPr>
        <w:spacing w:after="80" w:before="80"/>
        <w:jc w:val="left"/>
      </w:pPr>
      <w:r>
        <w:rPr>
          <w:rFonts w:ascii="Arial" w:cs="Arial" w:eastAsia="Arial" w:hAnsi="Arial"/>
          <w:b w:val="false"/>
          <w:bCs w:val="false"/>
          <w:i/>
          <w:iCs/>
          <w:color w:val="2D2D2D"/>
          <w:sz w:val="22"/>
          <w:szCs w:val="22"/>
        </w:rPr>
        <w:t xml:space="preserve">One additional pattern worth noting: deliberately forcing yawns — attempting to trigger a yawn or forcing the jaw to maximum open range to relieve a sensation of fullness or pressure in the ear. This is a common behaviour among people with jaw-origin tinnitus and TMJ dysfunction. The sensation it temporarily relieves is real, but the repeated forced opening loads the TMJ at end range and stretches the joint capsule and surrounding soft tissue. It is a behaviour that feels relieving in the moment and is counterproductive over time. If this is a current habit, Phase 3 jaw distraction work addresses the underlying sensation more effectively without the joint loading.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Mechanism</w:t>
            </w:r>
          </w:p>
          <w:p>
            <w:pPr>
              <w:spacing w:after="0" w:before="0"/>
            </w:pPr>
            <w:r>
              <w:rPr>
                <w:rFonts w:ascii="Arial" w:cs="Arial" w:eastAsia="Arial" w:hAnsi="Arial"/>
                <w:i/>
                <w:iCs/>
                <w:color w:val="555555"/>
                <w:sz w:val="20"/>
                <w:szCs w:val="20"/>
              </w:rPr>
              <w:t xml:space="preserve">External mandibular load from chin resting compresses the TMJ disc and capsule directly. Jaw bracing during physical effort produces high-intensity masticatory contraction — brief but repeated across multiple sessions weekly. Both maintain loading in the joint and surrounding musculature outside of the specific daily clenching and chewing patterns. Forced yawning loads the TMJ at end range and places tensile stress on the joint capsule — the opposite of the controlled decompression the Phase 3 distraction work produces.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0" w:before="0"/>
              <w:jc w:val="center"/>
            </w:pPr>
            <w:r>
              <w:rPr>
                <w:rFonts w:ascii="Arial" w:cs="Arial" w:eastAsia="Arial" w:hAnsi="Arial"/>
                <w:i/>
                <w:iCs/>
                <w:color w:val="555555"/>
                <w:sz w:val="20"/>
                <w:szCs w:val="20"/>
              </w:rPr>
              <w:t xml:space="preserve">I understand this habit and what I need to change  </w:t>
            </w:r>
            <w:r>
              <w:rPr>
                <w:rFonts w:ascii="Arial" w:cs="Arial" w:eastAsia="Arial" w:hAnsi="Arial"/>
                <w:b/>
                <w:bCs/>
                <w:color w:val="0A7C8C"/>
                <w:sz w:val="20"/>
                <w:szCs w:val="20"/>
              </w:rPr>
              <w:t xml:space="preserve">[ Acknowledge ]</w:t>
            </w:r>
          </w:p>
        </w:tc>
      </w:tr>
    </w:tbl>
    <w:p>
      <w:pPr>
        <w:spacing w:after="60" w:before="60"/>
      </w:pPr>
      <w:r>
        <w:t xml:space="preserve"/>
      </w:r>
    </w:p>
    <w:p>
      <w:pPr>
        <w:spacing w:after="80" w:before="200"/>
      </w:pPr>
      <w:r>
        <w:rPr>
          <w:rFonts w:ascii="Arial" w:cs="Arial" w:eastAsia="Arial" w:hAnsi="Arial"/>
          <w:b/>
          <w:bCs/>
          <w:color w:val="2D2D2D"/>
          <w:sz w:val="24"/>
          <w:szCs w:val="24"/>
        </w:rPr>
        <w:t xml:space="preserve">7. Phone Trapped Between Ear and Shoulder</w:t>
      </w:r>
    </w:p>
    <w:p>
      <w:pPr>
        <w:spacing w:after="80" w:before="80"/>
        <w:jc w:val="left"/>
      </w:pPr>
      <w:r>
        <w:rPr>
          <w:rFonts w:ascii="Arial" w:cs="Arial" w:eastAsia="Arial" w:hAnsi="Arial"/>
          <w:b w:val="false"/>
          <w:bCs w:val="false"/>
          <w:i w:val="false"/>
          <w:iCs w:val="false"/>
          <w:color w:val="2D2D2D"/>
          <w:sz w:val="22"/>
          <w:szCs w:val="22"/>
        </w:rPr>
        <w:t xml:space="preserve">Holding the phone between ear and shoulder during calls places the cervical spine into sustained lateral flexion and rotation simultaneously — and typically also drives compensatory jaw tension on the same side. It is one of the few habits that loads both driver pathways at once.</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This habit has become less common with headphones and speakerphone but remains worth flagging — it is still a regular pattern for some people, particularly during work calls where the hands need to be free. If it applies, the fix is simple: headphones, earbuds, or speakerphone for any call longer than a minute or two.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Mechanism</w:t>
            </w:r>
          </w:p>
          <w:p>
            <w:pPr>
              <w:spacing w:after="0" w:before="0"/>
            </w:pPr>
            <w:r>
              <w:rPr>
                <w:rFonts w:ascii="Arial" w:cs="Arial" w:eastAsia="Arial" w:hAnsi="Arial"/>
                <w:i/>
                <w:iCs/>
                <w:color w:val="555555"/>
                <w:sz w:val="20"/>
                <w:szCs w:val="20"/>
              </w:rPr>
              <w:t xml:space="preserve">Sustained cervical lateral flexion with rotation loads the upper cervical joints and ipsilateral suboccipital musculature. Simultaneous jaw compensation on the same side adds masticatory muscle loading. The combined effect is direct loading of both trigeminal and upper cervical afferent pathways — the two primary driver routes into the dorsal cochlear nucleus.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0" w:before="0"/>
              <w:jc w:val="center"/>
            </w:pPr>
            <w:r>
              <w:rPr>
                <w:rFonts w:ascii="Arial" w:cs="Arial" w:eastAsia="Arial" w:hAnsi="Arial"/>
                <w:i/>
                <w:iCs/>
                <w:color w:val="555555"/>
                <w:sz w:val="20"/>
                <w:szCs w:val="20"/>
              </w:rPr>
              <w:t xml:space="preserve">I understand this habit and what I need to change  </w:t>
            </w:r>
            <w:r>
              <w:rPr>
                <w:rFonts w:ascii="Arial" w:cs="Arial" w:eastAsia="Arial" w:hAnsi="Arial"/>
                <w:b/>
                <w:bCs/>
                <w:color w:val="0A7C8C"/>
                <w:sz w:val="20"/>
                <w:szCs w:val="20"/>
              </w:rPr>
              <w:t xml:space="preserve">[ Acknowledge ]</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System Note</w:t>
            </w:r>
          </w:p>
          <w:p>
            <w:pPr>
              <w:spacing w:after="0" w:before="0"/>
            </w:pPr>
            <w:r>
              <w:rPr>
                <w:rFonts w:ascii="Arial" w:cs="Arial" w:eastAsia="Arial" w:hAnsi="Arial"/>
                <w:i/>
                <w:iCs/>
                <w:color w:val="555555"/>
                <w:sz w:val="20"/>
                <w:szCs w:val="20"/>
              </w:rPr>
              <w:t xml:space="preserve">"Flagged for your profile" label mapping for jaw habits: Habit 1 (resting position) — daytime_clenching confirmed or teeth_together_rest confirmed. Habit 2 (clenching) — daytime_clenching confirmed or s1_score positive. Habit 3 (gum chewing) — gum_chewing confirmed. Habit 4 (nail biting/object chewing) — object_chewing confirmed. Habit 5 (unilateral chewing) — dominant_chewing_side confirmed AND masseter_asymmetry confirmed. Habit 6 (jaw posturing) — jaw_posture_habits confirmed. Habit 7 (phone shoulder) — phone_shoulder confirmed. All jaw habits show the label if tmj_raw_score is above minimum assignment threshold.</w:t>
            </w:r>
          </w:p>
        </w:tc>
      </w:tr>
    </w:tbl>
    <w:p>
      <w:pPr>
        <w:spacing w:after="60" w:before="60"/>
      </w:pPr>
      <w:r>
        <w:t xml:space="preserve"/>
      </w:r>
    </w:p>
    <w:p>
      <w:pPr>
        <w:pBdr>
          <w:bottom w:val="single" w:color="0A7C8C" w:sz="4" w:space="1"/>
        </w:pBdr>
        <w:spacing w:after="200" w:before="200"/>
      </w:pPr>
      <w:r>
        <w:t xml:space="preserve"/>
      </w:r>
    </w:p>
    <w:p>
      <w:pPr>
        <w:pStyle w:val="Heading2"/>
        <w:spacing w:after="120" w:before="240"/>
      </w:pPr>
      <w:r>
        <w:rPr>
          <w:rFonts w:ascii="Arial" w:cs="Arial" w:eastAsia="Arial" w:hAnsi="Arial"/>
          <w:b/>
          <w:bCs/>
          <w:color w:val="2D2D2D"/>
          <w:sz w:val="28"/>
          <w:szCs w:val="28"/>
        </w:rPr>
        <w:t xml:space="preserve">C.3 — Habits Audit: Cervical and Postural</w:t>
      </w:r>
    </w:p>
    <w:p>
      <w:pPr>
        <w:spacing w:after="60" w:before="60"/>
      </w:pPr>
      <w:r>
        <w:t xml:space="preserve"/>
      </w:r>
    </w:p>
    <w:p>
      <w:pPr>
        <w:spacing w:after="80" w:before="80"/>
        <w:jc w:val="left"/>
      </w:pPr>
      <w:r>
        <w:rPr>
          <w:rFonts w:ascii="Arial" w:cs="Arial" w:eastAsia="Arial" w:hAnsi="Arial"/>
          <w:b w:val="false"/>
          <w:bCs w:val="false"/>
          <w:i/>
          <w:iCs/>
          <w:color w:val="2D2D2D"/>
          <w:sz w:val="22"/>
          <w:szCs w:val="22"/>
        </w:rPr>
        <w:t xml:space="preserve">Work through each habit below. For habits marked "Flagged for your profile," your Phase 1 assessment identified this as an active maintaining factor in your specific case — it warrants particular attention.</w:t>
      </w:r>
    </w:p>
    <w:p>
      <w:pPr>
        <w:spacing w:after="60" w:before="60"/>
      </w:pPr>
      <w:r>
        <w:t xml:space="preserve"/>
      </w:r>
    </w:p>
    <w:p>
      <w:pPr>
        <w:spacing w:after="60" w:before="60"/>
      </w:pPr>
      <w:r>
        <w:t xml:space="preserve"/>
      </w:r>
    </w:p>
    <w:p>
      <w:pPr>
        <w:spacing w:after="80" w:before="200"/>
      </w:pPr>
      <w:r>
        <w:rPr>
          <w:rFonts w:ascii="Arial" w:cs="Arial" w:eastAsia="Arial" w:hAnsi="Arial"/>
          <w:b/>
          <w:bCs/>
          <w:color w:val="2D2D2D"/>
          <w:sz w:val="24"/>
          <w:szCs w:val="24"/>
        </w:rPr>
        <w:t xml:space="preserve">1. Phone and Reading Posture</w:t>
      </w:r>
    </w:p>
    <w:p>
      <w:pPr>
        <w:spacing w:after="80" w:before="80"/>
        <w:jc w:val="left"/>
      </w:pPr>
      <w:r>
        <w:rPr>
          <w:rFonts w:ascii="Arial" w:cs="Arial" w:eastAsia="Arial" w:hAnsi="Arial"/>
          <w:b w:val="false"/>
          <w:bCs w:val="false"/>
          <w:i w:val="false"/>
          <w:iCs w:val="false"/>
          <w:color w:val="2D2D2D"/>
          <w:sz w:val="22"/>
          <w:szCs w:val="22"/>
        </w:rPr>
        <w:t xml:space="preserve">The head weighs approximately 5kg in neutral position. For every inch it moves forward of the shoulders, the effective load on the cervical spine increases significantly — by some estimates reaching 20–30kg of effective load at a 45-degree forward angle. Sustained forward head position is the single most common source of daily cervical loading for most people.</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Phone use is the most frequent driver of this pattern. Looking down at a phone held at waist or chest height places the neck into sustained flexion for the duration of every scroll, message, or browsing session. Across a typical day this accumulates into hours of continuous cervical load.</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The same applies to reading flat on a desk, working with physical documents laid horizontal, or reading a book held low. The position of the material determines the position of the head — material held low means the head angles down to meet it.</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The fix in both cases is the same: raise the material to eye level where possible. Phone held higher, documents propped, books raised. The habit change feels unnatural initially because the low-position pattern is deeply ingrained — it normalises quickly.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Mechanism</w:t>
            </w:r>
          </w:p>
          <w:p>
            <w:pPr>
              <w:spacing w:after="0" w:before="0"/>
            </w:pPr>
            <w:r>
              <w:rPr>
                <w:rFonts w:ascii="Arial" w:cs="Arial" w:eastAsia="Arial" w:hAnsi="Arial"/>
                <w:i/>
                <w:iCs/>
                <w:color w:val="555555"/>
                <w:sz w:val="20"/>
                <w:szCs w:val="20"/>
              </w:rPr>
              <w:t xml:space="preserve">Forward head position during phone and reading use places the suboccipital muscles and upper cervical joints under sustained compressive and tensile load. The abnormal cervical afferent input generated by hours of daily forward flexion feeds directly into the same brainstem pathway that Phase 3 works to reduce. Addressing this habit reduces the daily mechanical input the protocol is working against.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0" w:before="0"/>
              <w:jc w:val="center"/>
            </w:pPr>
            <w:r>
              <w:rPr>
                <w:rFonts w:ascii="Arial" w:cs="Arial" w:eastAsia="Arial" w:hAnsi="Arial"/>
                <w:i/>
                <w:iCs/>
                <w:color w:val="555555"/>
                <w:sz w:val="20"/>
                <w:szCs w:val="20"/>
              </w:rPr>
              <w:t xml:space="preserve">I understand this habit and what I need to change  </w:t>
            </w:r>
            <w:r>
              <w:rPr>
                <w:rFonts w:ascii="Arial" w:cs="Arial" w:eastAsia="Arial" w:hAnsi="Arial"/>
                <w:b/>
                <w:bCs/>
                <w:color w:val="0A7C8C"/>
                <w:sz w:val="20"/>
                <w:szCs w:val="20"/>
              </w:rPr>
              <w:t xml:space="preserve">[ Acknowledge ]</w:t>
            </w:r>
          </w:p>
        </w:tc>
      </w:tr>
    </w:tbl>
    <w:p>
      <w:pPr>
        <w:spacing w:after="60" w:before="60"/>
      </w:pPr>
      <w:r>
        <w:t xml:space="preserve"/>
      </w:r>
    </w:p>
    <w:p>
      <w:pPr>
        <w:spacing w:after="80" w:before="200"/>
      </w:pPr>
      <w:r>
        <w:rPr>
          <w:rFonts w:ascii="Arial" w:cs="Arial" w:eastAsia="Arial" w:hAnsi="Arial"/>
          <w:b/>
          <w:bCs/>
          <w:color w:val="2D2D2D"/>
          <w:sz w:val="24"/>
          <w:szCs w:val="24"/>
        </w:rPr>
        <w:t xml:space="preserve">2. Screen Height</w:t>
      </w:r>
    </w:p>
    <w:p>
      <w:pPr>
        <w:spacing w:after="80" w:before="80"/>
        <w:jc w:val="left"/>
      </w:pPr>
      <w:r>
        <w:rPr>
          <w:rFonts w:ascii="Arial" w:cs="Arial" w:eastAsia="Arial" w:hAnsi="Arial"/>
          <w:b w:val="false"/>
          <w:bCs w:val="false"/>
          <w:i w:val="false"/>
          <w:iCs w:val="false"/>
          <w:color w:val="2D2D2D"/>
          <w:sz w:val="22"/>
          <w:szCs w:val="22"/>
        </w:rPr>
        <w:t xml:space="preserve">Screen height is the highest-leverage single workstation change available for reducing daily cervical load. A monitor or laptop screen positioned below eye level requires sustained cervical flexion throughout every desk session — often four to eight hours daily for people in sedentary occupations. Even a well-positioned spine cannot compensate for a screen that forces the head downward.</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The correct screen position is: top of the screen at or just below eye level, screen at approximately arm's length. For laptop users without a separate keyboard this is not achievable with the laptop flat on a desk — the screen will always be too low. A laptop stand raising the screen to eye level combined with a separate keyboard is the solution. The combined cost is typically under £30–40 and the cervical load reduction across a full working day is substantial.</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If your Phase 1 assessment identified sustained desk load or low screen positioning as a confirmed maintaining factor, this is the single most impactful change available to you before Phase 3 begins.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Mechanism</w:t>
            </w:r>
          </w:p>
          <w:p>
            <w:pPr>
              <w:spacing w:after="0" w:before="0"/>
            </w:pPr>
            <w:r>
              <w:rPr>
                <w:rFonts w:ascii="Arial" w:cs="Arial" w:eastAsia="Arial" w:hAnsi="Arial"/>
                <w:i/>
                <w:iCs/>
                <w:color w:val="555555"/>
                <w:sz w:val="20"/>
                <w:szCs w:val="20"/>
              </w:rPr>
              <w:t xml:space="preserve">A screen positioned below eye level maintains the cervical spine in sustained flexion during all desk work. Unlike phone use which is intermittent, desk work typically involves hours of continuous low-head positioning. The cumulative cervical load across a full working week represents a significant ongoing source of abnormal upper cervical afferent input.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0" w:before="0"/>
              <w:jc w:val="center"/>
            </w:pPr>
            <w:r>
              <w:rPr>
                <w:rFonts w:ascii="Arial" w:cs="Arial" w:eastAsia="Arial" w:hAnsi="Arial"/>
                <w:i/>
                <w:iCs/>
                <w:color w:val="555555"/>
                <w:sz w:val="20"/>
                <w:szCs w:val="20"/>
              </w:rPr>
              <w:t xml:space="preserve">I understand this habit and what I need to change  </w:t>
            </w:r>
            <w:r>
              <w:rPr>
                <w:rFonts w:ascii="Arial" w:cs="Arial" w:eastAsia="Arial" w:hAnsi="Arial"/>
                <w:b/>
                <w:bCs/>
                <w:color w:val="0A7C8C"/>
                <w:sz w:val="20"/>
                <w:szCs w:val="20"/>
              </w:rPr>
              <w:t xml:space="preserve">[ Acknowledge ]</w:t>
            </w:r>
          </w:p>
        </w:tc>
      </w:tr>
    </w:tbl>
    <w:p>
      <w:pPr>
        <w:spacing w:after="60" w:before="60"/>
      </w:pPr>
      <w:r>
        <w:t xml:space="preserve"/>
      </w:r>
    </w:p>
    <w:p>
      <w:pPr>
        <w:spacing w:after="80" w:before="200"/>
      </w:pPr>
      <w:r>
        <w:rPr>
          <w:rFonts w:ascii="Arial" w:cs="Arial" w:eastAsia="Arial" w:hAnsi="Arial"/>
          <w:b/>
          <w:bCs/>
          <w:color w:val="2D2D2D"/>
          <w:sz w:val="24"/>
          <w:szCs w:val="24"/>
        </w:rPr>
        <w:t xml:space="preserve">3. Sleep Position</w:t>
      </w:r>
    </w:p>
    <w:p>
      <w:pPr>
        <w:spacing w:after="80" w:before="80"/>
        <w:jc w:val="left"/>
      </w:pPr>
      <w:r>
        <w:rPr>
          <w:rFonts w:ascii="Arial" w:cs="Arial" w:eastAsia="Arial" w:hAnsi="Arial"/>
          <w:b w:val="false"/>
          <w:bCs w:val="false"/>
          <w:i w:val="false"/>
          <w:iCs w:val="false"/>
          <w:color w:val="2D2D2D"/>
          <w:sz w:val="22"/>
          <w:szCs w:val="22"/>
        </w:rPr>
        <w:t xml:space="preserve">Sleep position is one of the highest-impact cervical habits because of duration — seven or eight hours in a maintained position produces more cumulative cervical load than most waking habits.</w:t>
      </w:r>
    </w:p>
    <w:p>
      <w:pPr>
        <w:spacing w:after="60" w:before="60"/>
      </w:pPr>
      <w:r>
        <w:t xml:space="preserve"/>
      </w:r>
    </w:p>
    <w:p>
      <w:pPr>
        <w:spacing w:after="40" w:before="80"/>
      </w:pPr>
      <w:r>
        <w:rPr>
          <w:rFonts w:ascii="Arial" w:cs="Arial" w:eastAsia="Arial" w:hAnsi="Arial"/>
          <w:b/>
          <w:bCs/>
          <w:color w:val="2D2D2D"/>
          <w:sz w:val="22"/>
          <w:szCs w:val="22"/>
        </w:rPr>
        <w:t xml:space="preserve">Stomach sleeping</w:t>
      </w:r>
    </w:p>
    <w:p>
      <w:pPr>
        <w:spacing w:after="80" w:before="80"/>
        <w:jc w:val="left"/>
      </w:pPr>
      <w:r>
        <w:rPr>
          <w:rFonts w:ascii="Arial" w:cs="Arial" w:eastAsia="Arial" w:hAnsi="Arial"/>
          <w:b w:val="false"/>
          <w:bCs w:val="false"/>
          <w:i w:val="false"/>
          <w:iCs w:val="false"/>
          <w:color w:val="2D2D2D"/>
          <w:sz w:val="22"/>
          <w:szCs w:val="22"/>
        </w:rPr>
        <w:t xml:space="preserve">Lying face down requires the neck to be rotated fully to one side for the entire sleep duration — sustained end-range cervical rotation maintained for hours. For members with confirmed cervical driver involvement, stomach sleeping is the sleep habit that most directly counteracts the Phase 3 protocol. Position change for stomach sleepers is flagged as a priority — not something to address gradually but something worth changing immediately.</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Transitioning away from stomach sleeping is uncomfortable initially because it is a deeply habitual position. Side sleeping or back sleeping are both acceptable alternatives. A pillow between the knees can help with the transition to side sleeping by making it feel more stable.</w:t>
      </w:r>
    </w:p>
    <w:p>
      <w:pPr>
        <w:spacing w:after="60" w:before="60"/>
      </w:pPr>
      <w:r>
        <w:t xml:space="preserve"/>
      </w:r>
    </w:p>
    <w:p>
      <w:pPr>
        <w:spacing w:after="40" w:before="80"/>
      </w:pPr>
      <w:r>
        <w:rPr>
          <w:rFonts w:ascii="Arial" w:cs="Arial" w:eastAsia="Arial" w:hAnsi="Arial"/>
          <w:b/>
          <w:bCs/>
          <w:color w:val="2D2D2D"/>
          <w:sz w:val="22"/>
          <w:szCs w:val="22"/>
        </w:rPr>
        <w:t xml:space="preserve">Side sleeping</w:t>
      </w:r>
    </w:p>
    <w:p>
      <w:pPr>
        <w:spacing w:after="80" w:before="80"/>
        <w:jc w:val="left"/>
      </w:pPr>
      <w:r>
        <w:rPr>
          <w:rFonts w:ascii="Arial" w:cs="Arial" w:eastAsia="Arial" w:hAnsi="Arial"/>
          <w:b w:val="false"/>
          <w:bCs w:val="false"/>
          <w:i w:val="false"/>
          <w:iCs w:val="false"/>
          <w:color w:val="2D2D2D"/>
          <w:sz w:val="22"/>
          <w:szCs w:val="22"/>
        </w:rPr>
        <w:t xml:space="preserve">Side sleeping is generally acceptable but pillow height matters. A pillow that is too flat allows the head to drop toward the mattress, placing the cervical spine into lateral flexion. A pillow that is too thick pushes the head upward into lateral flexion in the other direction. The goal is neutral cervical alignment — ear directly above the shoulder when lying on the side. Most standard pillows are adequate for average shoulder width; broader shoulders typically need a thicker pillow.</w:t>
      </w:r>
    </w:p>
    <w:p>
      <w:pPr>
        <w:spacing w:after="60" w:before="60"/>
      </w:pPr>
      <w:r>
        <w:t xml:space="preserve"/>
      </w:r>
    </w:p>
    <w:p>
      <w:pPr>
        <w:spacing w:after="40" w:before="80"/>
      </w:pPr>
      <w:r>
        <w:rPr>
          <w:rFonts w:ascii="Arial" w:cs="Arial" w:eastAsia="Arial" w:hAnsi="Arial"/>
          <w:b/>
          <w:bCs/>
          <w:color w:val="2D2D2D"/>
          <w:sz w:val="22"/>
          <w:szCs w:val="22"/>
        </w:rPr>
        <w:t xml:space="preserve">Back sleeping</w:t>
      </w:r>
    </w:p>
    <w:p>
      <w:pPr>
        <w:spacing w:after="80" w:before="80"/>
        <w:jc w:val="left"/>
      </w:pPr>
      <w:r>
        <w:rPr>
          <w:rFonts w:ascii="Arial" w:cs="Arial" w:eastAsia="Arial" w:hAnsi="Arial"/>
          <w:b w:val="false"/>
          <w:bCs w:val="false"/>
          <w:i w:val="false"/>
          <w:iCs w:val="false"/>
          <w:color w:val="2D2D2D"/>
          <w:sz w:val="22"/>
          <w:szCs w:val="22"/>
        </w:rPr>
        <w:t xml:space="preserve">Back sleeping requires lower support — a thinner pillow or a contoured cervical pillow that supports the natural cervical curve without pushing the head forward into flexion.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Mechanism</w:t>
            </w:r>
          </w:p>
          <w:p>
            <w:pPr>
              <w:spacing w:after="0" w:before="0"/>
            </w:pPr>
            <w:r>
              <w:rPr>
                <w:rFonts w:ascii="Arial" w:cs="Arial" w:eastAsia="Arial" w:hAnsi="Arial"/>
                <w:i/>
                <w:iCs/>
                <w:color w:val="555555"/>
                <w:sz w:val="20"/>
                <w:szCs w:val="20"/>
              </w:rPr>
              <w:t xml:space="preserve">Sustained cervical rotation during stomach sleeping maintains end-range joint load and suboccipital muscle tension through the night. Hours of this position rebuilds the very tension the Phase 3 protocol releases during the day. Pillow height errors during side sleeping produce similar effects through sustained lateral flexion rather than rotation.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0" w:before="0"/>
              <w:jc w:val="center"/>
            </w:pPr>
            <w:r>
              <w:rPr>
                <w:rFonts w:ascii="Arial" w:cs="Arial" w:eastAsia="Arial" w:hAnsi="Arial"/>
                <w:i/>
                <w:iCs/>
                <w:color w:val="555555"/>
                <w:sz w:val="20"/>
                <w:szCs w:val="20"/>
              </w:rPr>
              <w:t xml:space="preserve">I understand this habit and what I need to change  </w:t>
            </w:r>
            <w:r>
              <w:rPr>
                <w:rFonts w:ascii="Arial" w:cs="Arial" w:eastAsia="Arial" w:hAnsi="Arial"/>
                <w:b/>
                <w:bCs/>
                <w:color w:val="0A7C8C"/>
                <w:sz w:val="20"/>
                <w:szCs w:val="20"/>
              </w:rPr>
              <w:t xml:space="preserve">[ Acknowledge ]</w:t>
            </w:r>
          </w:p>
        </w:tc>
      </w:tr>
    </w:tbl>
    <w:p>
      <w:pPr>
        <w:spacing w:after="60" w:before="60"/>
      </w:pPr>
      <w:r>
        <w:t xml:space="preserve"/>
      </w:r>
    </w:p>
    <w:p>
      <w:pPr>
        <w:spacing w:after="80" w:before="200"/>
      </w:pPr>
      <w:r>
        <w:rPr>
          <w:rFonts w:ascii="Arial" w:cs="Arial" w:eastAsia="Arial" w:hAnsi="Arial"/>
          <w:b/>
          <w:bCs/>
          <w:color w:val="2D2D2D"/>
          <w:sz w:val="24"/>
          <w:szCs w:val="24"/>
        </w:rPr>
        <w:t xml:space="preserve">4. Bag Carrying</w:t>
      </w:r>
    </w:p>
    <w:p>
      <w:pPr>
        <w:spacing w:after="80" w:before="80"/>
        <w:jc w:val="left"/>
      </w:pPr>
      <w:r>
        <w:rPr>
          <w:rFonts w:ascii="Arial" w:cs="Arial" w:eastAsia="Arial" w:hAnsi="Arial"/>
          <w:b w:val="false"/>
          <w:bCs w:val="false"/>
          <w:i w:val="false"/>
          <w:iCs w:val="false"/>
          <w:color w:val="2D2D2D"/>
          <w:sz w:val="22"/>
          <w:szCs w:val="22"/>
        </w:rPr>
        <w:t xml:space="preserve">Consistently carrying a bag on one shoulder elevates the carrying-side shoulder and reinforces the same asymmetric upper trapezius and levator scapulae tension identified in Phase 1. The body adapts to the load by chronically elevating the shoulder — a pattern that, over time, becomes the resting position even without the bag.</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The fix is simple in principle: alternate shoulders regularly, or switch to a backpack that distributes load symmetrically. In practice, bag carrying habits are highly automatic — the bag goes on the same shoulder every time without conscious decision. The habit change requires a deliberate interruption until the alternating pattern becomes automatic.</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For members with confirmed elevated shoulder asymmetry from Phase 1, the carrying side is worth checking against the elevated side. If they match — which is common — the bag carrying habit is a likely contributor to the asymmetric pattern the Phase 3 protocol addresses.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Mechanism</w:t>
            </w:r>
          </w:p>
          <w:p>
            <w:pPr>
              <w:spacing w:after="0" w:before="0"/>
            </w:pPr>
            <w:r>
              <w:rPr>
                <w:rFonts w:ascii="Arial" w:cs="Arial" w:eastAsia="Arial" w:hAnsi="Arial"/>
                <w:i/>
                <w:iCs/>
                <w:color w:val="555555"/>
                <w:sz w:val="20"/>
                <w:szCs w:val="20"/>
              </w:rPr>
              <w:t xml:space="preserve">Unilateral shoulder loading elevates the upper trapezius and levator scapulae on the carrying side, placing sustained load on the upper cervical transverse processes on that side. Chronic shoulder elevation maintains abnormal cervical afferent input and directly counteracts the cervical protocol work targeting the same muscles.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0" w:before="0"/>
              <w:jc w:val="center"/>
            </w:pPr>
            <w:r>
              <w:rPr>
                <w:rFonts w:ascii="Arial" w:cs="Arial" w:eastAsia="Arial" w:hAnsi="Arial"/>
                <w:i/>
                <w:iCs/>
                <w:color w:val="555555"/>
                <w:sz w:val="20"/>
                <w:szCs w:val="20"/>
              </w:rPr>
              <w:t xml:space="preserve">I understand this habit and what I need to change  </w:t>
            </w:r>
            <w:r>
              <w:rPr>
                <w:rFonts w:ascii="Arial" w:cs="Arial" w:eastAsia="Arial" w:hAnsi="Arial"/>
                <w:b/>
                <w:bCs/>
                <w:color w:val="0A7C8C"/>
                <w:sz w:val="20"/>
                <w:szCs w:val="20"/>
              </w:rPr>
              <w:t xml:space="preserve">[ Acknowledge ]</w:t>
            </w:r>
          </w:p>
        </w:tc>
      </w:tr>
    </w:tbl>
    <w:p>
      <w:pPr>
        <w:spacing w:after="60" w:before="60"/>
      </w:pPr>
      <w:r>
        <w:t xml:space="preserve"/>
      </w:r>
    </w:p>
    <w:p>
      <w:pPr>
        <w:spacing w:after="80" w:before="200"/>
      </w:pPr>
      <w:r>
        <w:rPr>
          <w:rFonts w:ascii="Arial" w:cs="Arial" w:eastAsia="Arial" w:hAnsi="Arial"/>
          <w:b/>
          <w:bCs/>
          <w:color w:val="2D2D2D"/>
          <w:sz w:val="24"/>
          <w:szCs w:val="24"/>
        </w:rPr>
        <w:t xml:space="preserve">5. Movement Breaks</w:t>
      </w:r>
    </w:p>
    <w:p>
      <w:pPr>
        <w:spacing w:after="80" w:before="80"/>
        <w:jc w:val="left"/>
      </w:pPr>
      <w:r>
        <w:rPr>
          <w:rFonts w:ascii="Arial" w:cs="Arial" w:eastAsia="Arial" w:hAnsi="Arial"/>
          <w:b w:val="false"/>
          <w:bCs w:val="false"/>
          <w:i w:val="false"/>
          <w:iCs w:val="false"/>
          <w:color w:val="2D2D2D"/>
          <w:sz w:val="22"/>
          <w:szCs w:val="22"/>
        </w:rPr>
        <w:t xml:space="preserve">Sustained static posture is problematic regardless of how correct that posture is. The cervical spine and surrounding musculature are designed for movement — sustained loading in any fixed position, including a neutral one, produces progressive tension accumulation and reduced local circulation.</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The intervention is simple: every 45 minutes, stand up and move. Not a stretch routine, not a structured break — stand up, move your shoulders through their range for 30 seconds, and sit back down. That is sufficient to interrupt the tension accumulation cycle. The movement itself matters more than its duration or complexity.</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For people in sedentary occupations with four or more hours of daily desk time, this single habit change meaningfully reduces the cumulative cervical load across the working day. A phone reminder set to 45 minutes is the most reliable implementation — waiting until you feel stiff means the tension has already accumulated.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Mechanism</w:t>
            </w:r>
          </w:p>
          <w:p>
            <w:pPr>
              <w:spacing w:after="0" w:before="0"/>
            </w:pPr>
            <w:r>
              <w:rPr>
                <w:rFonts w:ascii="Arial" w:cs="Arial" w:eastAsia="Arial" w:hAnsi="Arial"/>
                <w:i/>
                <w:iCs/>
                <w:color w:val="555555"/>
                <w:sz w:val="20"/>
                <w:szCs w:val="20"/>
              </w:rPr>
              <w:t xml:space="preserve">Static posture reduces local muscular circulation and allows progressive tension accumulation in the cervical and suboccipital musculature. Brief movement every 45 minutes interrupts this cycle before significant tension builds. The effect is cumulative — consistent movement breaks across a full working day produce a substantially lower baseline cervical tension level than uninterrupted sustained sitting.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0" w:before="0"/>
              <w:jc w:val="center"/>
            </w:pPr>
            <w:r>
              <w:rPr>
                <w:rFonts w:ascii="Arial" w:cs="Arial" w:eastAsia="Arial" w:hAnsi="Arial"/>
                <w:i/>
                <w:iCs/>
                <w:color w:val="555555"/>
                <w:sz w:val="20"/>
                <w:szCs w:val="20"/>
              </w:rPr>
              <w:t xml:space="preserve">I understand this habit and what I need to change  </w:t>
            </w:r>
            <w:r>
              <w:rPr>
                <w:rFonts w:ascii="Arial" w:cs="Arial" w:eastAsia="Arial" w:hAnsi="Arial"/>
                <w:b/>
                <w:bCs/>
                <w:color w:val="0A7C8C"/>
                <w:sz w:val="20"/>
                <w:szCs w:val="20"/>
              </w:rPr>
              <w:t xml:space="preserve">[ Acknowledge ]</w:t>
            </w:r>
          </w:p>
        </w:tc>
      </w:tr>
    </w:tbl>
    <w:p>
      <w:pPr>
        <w:spacing w:after="60" w:before="60"/>
      </w:pPr>
      <w:r>
        <w:t xml:space="preserve"/>
      </w:r>
    </w:p>
    <w:p>
      <w:pPr>
        <w:spacing w:after="80" w:before="200"/>
      </w:pPr>
      <w:r>
        <w:rPr>
          <w:rFonts w:ascii="Arial" w:cs="Arial" w:eastAsia="Arial" w:hAnsi="Arial"/>
          <w:b/>
          <w:bCs/>
          <w:color w:val="2D2D2D"/>
          <w:sz w:val="24"/>
          <w:szCs w:val="24"/>
        </w:rPr>
        <w:t xml:space="preserve">6. Car Seat and Driving Posture</w:t>
      </w:r>
    </w:p>
    <w:p>
      <w:pPr>
        <w:spacing w:after="80" w:before="80"/>
        <w:jc w:val="left"/>
      </w:pPr>
      <w:r>
        <w:rPr>
          <w:rFonts w:ascii="Arial" w:cs="Arial" w:eastAsia="Arial" w:hAnsi="Arial"/>
          <w:b w:val="false"/>
          <w:bCs w:val="false"/>
          <w:i w:val="false"/>
          <w:iCs w:val="false"/>
          <w:color w:val="2D2D2D"/>
          <w:sz w:val="22"/>
          <w:szCs w:val="22"/>
        </w:rPr>
        <w:t xml:space="preserve">Driving combines several cervical loading factors simultaneously: sustained static posture, forward head position relative to a poorly positioned headrest, and — for longer journeys — significant total duration. It is one of the contexts most commonly associated with tinnitus worsening reported by cervical-dominant members.</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The headrest is the most frequently overlooked adjustment. Most car headrests sit too far back by default, which means the head sits forward of the headrest rather than supported by it — producing sustained forward head position for the entire drive. The headrest should be adjusted so it sits directly behind the head at rest, providing genuine support rather than functioning as a distant backstop.</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Seat position also matters. A seat reclined too far back encourages the head to come forward to see the road. A more upright seat position — not rigidly vertical, but closer to 100–110 degrees rather than heavily reclined — keeps the head naturally over the shoulders rather than in front of them.</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For members who drive regularly as part of their occupation — or who identified driving as a context where tinnitus reliably worsens — these adjustments are worth treating as a priority.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Mechanism</w:t>
            </w:r>
          </w:p>
          <w:p>
            <w:pPr>
              <w:spacing w:after="0" w:before="0"/>
            </w:pPr>
            <w:r>
              <w:rPr>
                <w:rFonts w:ascii="Arial" w:cs="Arial" w:eastAsia="Arial" w:hAnsi="Arial"/>
                <w:i/>
                <w:iCs/>
                <w:color w:val="555555"/>
                <w:sz w:val="20"/>
                <w:szCs w:val="20"/>
              </w:rPr>
              <w:t xml:space="preserve">Sustained driving in forward head position loads the suboccipital muscles and upper cervical joints continuously for the journey duration. Long drives represent some of the highest single-session cervical load events in daily life. A correctly positioned headrest shifts the head into neutral alignment and substantially reduces this load.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0" w:before="0"/>
              <w:jc w:val="center"/>
            </w:pPr>
            <w:r>
              <w:rPr>
                <w:rFonts w:ascii="Arial" w:cs="Arial" w:eastAsia="Arial" w:hAnsi="Arial"/>
                <w:i/>
                <w:iCs/>
                <w:color w:val="555555"/>
                <w:sz w:val="20"/>
                <w:szCs w:val="20"/>
              </w:rPr>
              <w:t xml:space="preserve">I understand this habit and what I need to change  </w:t>
            </w:r>
            <w:r>
              <w:rPr>
                <w:rFonts w:ascii="Arial" w:cs="Arial" w:eastAsia="Arial" w:hAnsi="Arial"/>
                <w:b/>
                <w:bCs/>
                <w:color w:val="0A7C8C"/>
                <w:sz w:val="20"/>
                <w:szCs w:val="20"/>
              </w:rPr>
              <w:t xml:space="preserve">[ Acknowledge ]</w:t>
            </w:r>
          </w:p>
        </w:tc>
      </w:tr>
    </w:tbl>
    <w:p>
      <w:pPr>
        <w:spacing w:after="60" w:before="60"/>
      </w:pPr>
      <w:r>
        <w:t xml:space="preserve"/>
      </w:r>
    </w:p>
    <w:p>
      <w:pPr>
        <w:spacing w:after="80" w:before="200"/>
      </w:pPr>
      <w:r>
        <w:rPr>
          <w:rFonts w:ascii="Arial" w:cs="Arial" w:eastAsia="Arial" w:hAnsi="Arial"/>
          <w:b/>
          <w:bCs/>
          <w:color w:val="2D2D2D"/>
          <w:sz w:val="24"/>
          <w:szCs w:val="24"/>
        </w:rPr>
        <w:t xml:space="preserve">7. Asymmetric Sitting Habits</w:t>
      </w:r>
    </w:p>
    <w:p>
      <w:pPr>
        <w:spacing w:after="80" w:before="80"/>
        <w:jc w:val="left"/>
      </w:pPr>
      <w:r>
        <w:rPr>
          <w:rFonts w:ascii="Arial" w:cs="Arial" w:eastAsia="Arial" w:hAnsi="Arial"/>
          <w:b w:val="false"/>
          <w:bCs w:val="false"/>
          <w:i w:val="false"/>
          <w:iCs w:val="false"/>
          <w:color w:val="2D2D2D"/>
          <w:sz w:val="22"/>
          <w:szCs w:val="22"/>
        </w:rPr>
        <w:t xml:space="preserve">How people sit when not consciously managing their posture reveals habitual asymmetric loading patterns. Common examples: sitting cross-legged with the same leg always on top, consistently tucking one foot under the opposite thigh, habitually leaning on one armrest, or sitting with weight shifted consistently onto one hip.</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Each of these patterns drives pelvic asymmetry, which produces compensatory spinal loading up through the lumbar and thoracic spine and ultimately into the cervical region. The connection is indirect but real — the cervical spine compensates for what happens below it. Chronic asymmetric sitting habits contribute to the same postural asymmetry patterns identified in Phase 1 and addressed in Phase 4.</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The habit change here is awareness and variation — noticing which asymmetric patterns are habitual and interrupting them. Symmetrical sitting does not need to be rigid or effortful; the goal is reducing consistent one-sided loading rather than achieving perfect posture.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Mechanism</w:t>
            </w:r>
          </w:p>
          <w:p>
            <w:pPr>
              <w:spacing w:after="0" w:before="0"/>
            </w:pPr>
            <w:r>
              <w:rPr>
                <w:rFonts w:ascii="Arial" w:cs="Arial" w:eastAsia="Arial" w:hAnsi="Arial"/>
                <w:i/>
                <w:iCs/>
                <w:color w:val="555555"/>
                <w:sz w:val="20"/>
                <w:szCs w:val="20"/>
              </w:rPr>
              <w:t xml:space="preserve">Pelvic asymmetry from habitual asymmetric sitting produces compensatory lateral spinal curvature that loads the cervical spine asymmetrically. Chronic cervical asymmetric loading maintains differential tension in the suboccipital and upper cervical musculature — directly relevant for members with lateralised cervical findings from Phase 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0" w:before="0"/>
              <w:jc w:val="center"/>
            </w:pPr>
            <w:r>
              <w:rPr>
                <w:rFonts w:ascii="Arial" w:cs="Arial" w:eastAsia="Arial" w:hAnsi="Arial"/>
                <w:i/>
                <w:iCs/>
                <w:color w:val="555555"/>
                <w:sz w:val="20"/>
                <w:szCs w:val="20"/>
              </w:rPr>
              <w:t xml:space="preserve">I understand this habit and what I need to change  </w:t>
            </w:r>
            <w:r>
              <w:rPr>
                <w:rFonts w:ascii="Arial" w:cs="Arial" w:eastAsia="Arial" w:hAnsi="Arial"/>
                <w:b/>
                <w:bCs/>
                <w:color w:val="0A7C8C"/>
                <w:sz w:val="20"/>
                <w:szCs w:val="20"/>
              </w:rPr>
              <w:t xml:space="preserve">[ Acknowledge ]</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System Note</w:t>
            </w:r>
          </w:p>
          <w:p>
            <w:pPr>
              <w:spacing w:after="0" w:before="0"/>
            </w:pPr>
            <w:r>
              <w:rPr>
                <w:rFonts w:ascii="Arial" w:cs="Arial" w:eastAsia="Arial" w:hAnsi="Arial"/>
                <w:i/>
                <w:iCs/>
                <w:color w:val="555555"/>
                <w:sz w:val="20"/>
                <w:szCs w:val="20"/>
              </w:rPr>
              <w:t xml:space="preserve">"Flagged for your profile" label mapping for cervical and postural habits: Habit 1 (phone/reading posture) — phone_posture confirmed or sustained_desk_load confirmed. Habit 2 (screen height) — low_screen_positioning confirmed. Habit 3 (sleep position) — stomach_sleeping confirmed (priority flag — this habit card also receives the immediate action notice from Phase 1 Section 7 if not already dismissed). Habit 4 (bag carrying) — consistent_bag_carrying confirmed or elevated_shoulder confirmed. Habit 5 (movement breaks) — high_sustained_sitting_load confirmed. Habit 6 (driving) — tinnitus_worse_driving confirmed from cervical module history questions. Habit 7 (asymmetric sitting) — elevated_shoulder confirmed or asymmetric_sitting confirmed. All cervical habits show the label if cervical_raw_score is above minimum assignment threshold.</w:t>
            </w:r>
          </w:p>
        </w:tc>
      </w:tr>
    </w:tbl>
    <w:p>
      <w:pPr>
        <w:spacing w:after="60" w:before="60"/>
      </w:pPr>
      <w:r>
        <w:t xml:space="preserve"/>
      </w:r>
    </w:p>
    <w:p>
      <w:pPr>
        <w:pBdr>
          <w:bottom w:val="single" w:color="0A7C8C" w:sz="4" w:space="1"/>
        </w:pBdr>
        <w:spacing w:after="200" w:before="200"/>
      </w:pPr>
      <w:r>
        <w:t xml:space="preserve"/>
      </w:r>
    </w:p>
    <w:p>
      <w:pPr>
        <w:pStyle w:val="Heading2"/>
        <w:spacing w:after="120" w:before="240"/>
      </w:pPr>
      <w:r>
        <w:rPr>
          <w:rFonts w:ascii="Arial" w:cs="Arial" w:eastAsia="Arial" w:hAnsi="Arial"/>
          <w:b/>
          <w:bCs/>
          <w:color w:val="2D2D2D"/>
          <w:sz w:val="28"/>
          <w:szCs w:val="28"/>
        </w:rPr>
        <w:t xml:space="preserve">C.4 — Habits Audit: Systemic</w:t>
      </w:r>
    </w:p>
    <w:p>
      <w:pPr>
        <w:spacing w:after="60" w:before="60"/>
      </w:pPr>
      <w:r>
        <w:t xml:space="preserve"/>
      </w:r>
    </w:p>
    <w:p>
      <w:pPr>
        <w:spacing w:after="80" w:before="80"/>
        <w:jc w:val="left"/>
      </w:pPr>
      <w:r>
        <w:rPr>
          <w:rFonts w:ascii="Arial" w:cs="Arial" w:eastAsia="Arial" w:hAnsi="Arial"/>
          <w:b w:val="false"/>
          <w:bCs w:val="false"/>
          <w:i/>
          <w:iCs/>
          <w:color w:val="2D2D2D"/>
          <w:sz w:val="22"/>
          <w:szCs w:val="22"/>
        </w:rPr>
        <w:t xml:space="preserve">Work through each habit below. For habits marked "Flagged for your profile," your Phase 1 assessment identified this as an active maintaining factor in your specific case — it warrants particular attention.</w:t>
      </w:r>
    </w:p>
    <w:p>
      <w:pPr>
        <w:spacing w:after="60" w:before="60"/>
      </w:pPr>
      <w:r>
        <w:t xml:space="preserve"/>
      </w:r>
    </w:p>
    <w:p>
      <w:pPr>
        <w:spacing w:after="60" w:before="60"/>
      </w:pPr>
      <w:r>
        <w:t xml:space="preserve"/>
      </w:r>
    </w:p>
    <w:p>
      <w:pPr>
        <w:spacing w:after="80" w:before="200"/>
      </w:pPr>
      <w:r>
        <w:rPr>
          <w:rFonts w:ascii="Arial" w:cs="Arial" w:eastAsia="Arial" w:hAnsi="Arial"/>
          <w:b/>
          <w:bCs/>
          <w:color w:val="2D2D2D"/>
          <w:sz w:val="24"/>
          <w:szCs w:val="24"/>
        </w:rPr>
        <w:t xml:space="preserve">1. Exercise and Physical Effort</w:t>
      </w:r>
    </w:p>
    <w:p>
      <w:pPr>
        <w:spacing w:after="80" w:before="80"/>
        <w:jc w:val="left"/>
      </w:pPr>
      <w:r>
        <w:rPr>
          <w:rFonts w:ascii="Arial" w:cs="Arial" w:eastAsia="Arial" w:hAnsi="Arial"/>
          <w:b w:val="false"/>
          <w:bCs w:val="false"/>
          <w:i w:val="false"/>
          <w:iCs w:val="false"/>
          <w:color w:val="2D2D2D"/>
          <w:sz w:val="22"/>
          <w:szCs w:val="22"/>
        </w:rPr>
        <w:t xml:space="preserve">Regular moderate exercise is one of the most effective tools available for reducing baseline sympathetic tone — the background nervous system activation that amplifies tinnitus perception on top of whatever the primary driver is producing. This entry is not a caution against exercise. It is a set of specific adjustments that make exercise work with your nervous system and musculature rather than against it.</w:t>
      </w:r>
    </w:p>
    <w:p>
      <w:pPr>
        <w:spacing w:after="60" w:before="60"/>
      </w:pPr>
      <w:r>
        <w:t xml:space="preserve"/>
      </w:r>
    </w:p>
    <w:p>
      <w:pPr>
        <w:spacing w:after="40" w:before="80"/>
      </w:pPr>
      <w:r>
        <w:rPr>
          <w:rFonts w:ascii="Arial" w:cs="Arial" w:eastAsia="Arial" w:hAnsi="Arial"/>
          <w:b/>
          <w:bCs/>
          <w:color w:val="2D2D2D"/>
          <w:sz w:val="22"/>
          <w:szCs w:val="22"/>
        </w:rPr>
        <w:t xml:space="preserve">Recovery and intensity</w:t>
      </w:r>
    </w:p>
    <w:p>
      <w:pPr>
        <w:spacing w:after="80" w:before="80"/>
        <w:jc w:val="left"/>
      </w:pPr>
      <w:r>
        <w:rPr>
          <w:rFonts w:ascii="Arial" w:cs="Arial" w:eastAsia="Arial" w:hAnsi="Arial"/>
          <w:b w:val="false"/>
          <w:bCs w:val="false"/>
          <w:i w:val="false"/>
          <w:iCs w:val="false"/>
          <w:color w:val="2D2D2D"/>
          <w:sz w:val="22"/>
          <w:szCs w:val="22"/>
        </w:rPr>
        <w:t xml:space="preserve">High intensity exercise without adequate recovery sustains elevated systemic sympathetic tone and keeps whole-body muscle tension higher than it would otherwise be. The issue is not intensity itself — it is the combination of high intensity and insufficient recovery between sessions. If you are training hard daily without rest days, or pushing through sessions while already fatigued, the sympathetic load accumulates rather than resolving between sessions. One or two rest days per week and honest assessment of recovery quality between sessions is the standard to aim for.</w:t>
      </w:r>
    </w:p>
    <w:p>
      <w:pPr>
        <w:spacing w:after="60" w:before="60"/>
      </w:pPr>
      <w:r>
        <w:t xml:space="preserve"/>
      </w:r>
    </w:p>
    <w:p>
      <w:pPr>
        <w:spacing w:after="40" w:before="80"/>
      </w:pPr>
      <w:r>
        <w:rPr>
          <w:rFonts w:ascii="Arial" w:cs="Arial" w:eastAsia="Arial" w:hAnsi="Arial"/>
          <w:b/>
          <w:bCs/>
          <w:color w:val="2D2D2D"/>
          <w:sz w:val="22"/>
          <w:szCs w:val="22"/>
        </w:rPr>
        <w:t xml:space="preserve">Load, reps, and form</w:t>
      </w:r>
    </w:p>
    <w:p>
      <w:pPr>
        <w:spacing w:after="80" w:before="80"/>
        <w:jc w:val="left"/>
      </w:pPr>
      <w:r>
        <w:rPr>
          <w:rFonts w:ascii="Arial" w:cs="Arial" w:eastAsia="Arial" w:hAnsi="Arial"/>
          <w:b w:val="false"/>
          <w:bCs w:val="false"/>
          <w:i w:val="false"/>
          <w:iCs w:val="false"/>
          <w:color w:val="2D2D2D"/>
          <w:sz w:val="22"/>
          <w:szCs w:val="22"/>
        </w:rPr>
        <w:t xml:space="preserve">For resistance training specifically: dropping the load and increasing the rep range — twelve controlled reps with good form rather than five reps at maximum load — reduces the whole-body bracing response that heavy loading produces. Maximum effort lifts drive jaw clenching, breath holding, and full-body tension as a physiological response. This is not avoidable at true maximal loads. At moderate loads with controlled form it is. This is not a recommendation to stop training hard — it is a specific adjustment during Phase 3 that reduces the daily tension load your protocol is working against.</w:t>
      </w:r>
    </w:p>
    <w:p>
      <w:pPr>
        <w:spacing w:after="60" w:before="60"/>
      </w:pPr>
      <w:r>
        <w:t xml:space="preserve"/>
      </w:r>
    </w:p>
    <w:p>
      <w:pPr>
        <w:spacing w:after="40" w:before="80"/>
      </w:pPr>
      <w:r>
        <w:rPr>
          <w:rFonts w:ascii="Arial" w:cs="Arial" w:eastAsia="Arial" w:hAnsi="Arial"/>
          <w:b/>
          <w:bCs/>
          <w:color w:val="2D2D2D"/>
          <w:sz w:val="22"/>
          <w:szCs w:val="22"/>
        </w:rPr>
        <w:t xml:space="preserve">Breathing during effort</w:t>
      </w:r>
    </w:p>
    <w:p>
      <w:pPr>
        <w:spacing w:after="80" w:before="80"/>
        <w:jc w:val="left"/>
      </w:pPr>
      <w:r>
        <w:rPr>
          <w:rFonts w:ascii="Arial" w:cs="Arial" w:eastAsia="Arial" w:hAnsi="Arial"/>
          <w:b w:val="false"/>
          <w:bCs w:val="false"/>
          <w:i w:val="false"/>
          <w:iCs w:val="false"/>
          <w:color w:val="2D2D2D"/>
          <w:sz w:val="22"/>
          <w:szCs w:val="22"/>
        </w:rPr>
        <w:t xml:space="preserve">Exhale on the contraction. This is standard coaching guidance but worth stating explicitly here because it is directly relevant to jaw and cervical tension during exercise. Holding the breath during contraction — the Valsalva manoeuvre — drives jaw clenching and cervical bracing as part of the same pattern. A controlled exhale through the effort phase keeps the jaw relaxed and the cervical muscles in a more neutral state. Check your jaw position during the hardest part of each set — it should be relaxed, teeth apart, not clenched.</w:t>
      </w:r>
    </w:p>
    <w:p>
      <w:pPr>
        <w:spacing w:after="60" w:before="60"/>
      </w:pPr>
      <w:r>
        <w:t xml:space="preserve"/>
      </w:r>
    </w:p>
    <w:p>
      <w:pPr>
        <w:spacing w:after="40" w:before="80"/>
      </w:pPr>
      <w:r>
        <w:rPr>
          <w:rFonts w:ascii="Arial" w:cs="Arial" w:eastAsia="Arial" w:hAnsi="Arial"/>
          <w:b/>
          <w:bCs/>
          <w:color w:val="2D2D2D"/>
          <w:sz w:val="22"/>
          <w:szCs w:val="22"/>
        </w:rPr>
        <w:t xml:space="preserve">Jaw release during effort</w:t>
      </w:r>
    </w:p>
    <w:p>
      <w:pPr>
        <w:spacing w:after="80" w:before="80"/>
        <w:jc w:val="left"/>
      </w:pPr>
      <w:r>
        <w:rPr>
          <w:rFonts w:ascii="Arial" w:cs="Arial" w:eastAsia="Arial" w:hAnsi="Arial"/>
          <w:b w:val="false"/>
          <w:bCs w:val="false"/>
          <w:i w:val="false"/>
          <w:iCs w:val="false"/>
          <w:color w:val="2D2D2D"/>
          <w:sz w:val="22"/>
          <w:szCs w:val="22"/>
        </w:rPr>
        <w:t xml:space="preserve">Separately from breathing: consciously check jaw position during exercise. During maximum effort — sprinting, heavy carries, intense sport — jaw clenching is a near-universal compensation pattern. Awareness and release during effort is the intervention. Teeth apart, jaw relaxed, effort through the working muscles rather than through a whole-body brace.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Mechanism</w:t>
            </w:r>
          </w:p>
          <w:p>
            <w:pPr>
              <w:spacing w:after="0" w:before="0"/>
            </w:pPr>
            <w:r>
              <w:rPr>
                <w:rFonts w:ascii="Arial" w:cs="Arial" w:eastAsia="Arial" w:hAnsi="Arial"/>
                <w:i/>
                <w:iCs/>
                <w:color w:val="555555"/>
                <w:sz w:val="20"/>
                <w:szCs w:val="20"/>
              </w:rPr>
              <w:t xml:space="preserve">Sustained high sympathetic tone from inadequate exercise recovery elevates baseline muscle tension throughout the body including in the jaw and cervical musculature — directly feeding back into the primary driver pathway. Jaw clenching and cervical bracing during heavy loading produces high-intensity masticatory and cervical muscle contraction across every training session. Exhaling on contraction and maintaining jaw release during effort reduces this load without compromising training quality.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0" w:before="0"/>
              <w:jc w:val="center"/>
            </w:pPr>
            <w:r>
              <w:rPr>
                <w:rFonts w:ascii="Arial" w:cs="Arial" w:eastAsia="Arial" w:hAnsi="Arial"/>
                <w:i/>
                <w:iCs/>
                <w:color w:val="555555"/>
                <w:sz w:val="20"/>
                <w:szCs w:val="20"/>
              </w:rPr>
              <w:t xml:space="preserve">I understand this habit and what I need to change  </w:t>
            </w:r>
            <w:r>
              <w:rPr>
                <w:rFonts w:ascii="Arial" w:cs="Arial" w:eastAsia="Arial" w:hAnsi="Arial"/>
                <w:b/>
                <w:bCs/>
                <w:color w:val="0A7C8C"/>
                <w:sz w:val="20"/>
                <w:szCs w:val="20"/>
              </w:rPr>
              <w:t xml:space="preserve">[ Acknowledge ]</w:t>
            </w:r>
          </w:p>
        </w:tc>
      </w:tr>
    </w:tbl>
    <w:p>
      <w:pPr>
        <w:spacing w:after="60" w:before="60"/>
      </w:pPr>
      <w:r>
        <w:t xml:space="preserve"/>
      </w:r>
    </w:p>
    <w:p>
      <w:pPr>
        <w:spacing w:after="80" w:before="200"/>
      </w:pPr>
      <w:r>
        <w:rPr>
          <w:rFonts w:ascii="Arial" w:cs="Arial" w:eastAsia="Arial" w:hAnsi="Arial"/>
          <w:b/>
          <w:bCs/>
          <w:color w:val="2D2D2D"/>
          <w:sz w:val="24"/>
          <w:szCs w:val="24"/>
        </w:rPr>
        <w:t xml:space="preserve">2. Caffeine, Alcohol, and Smoking</w:t>
      </w:r>
    </w:p>
    <w:p>
      <w:pPr>
        <w:spacing w:after="80" w:before="80"/>
        <w:jc w:val="left"/>
      </w:pPr>
      <w:r>
        <w:rPr>
          <w:rFonts w:ascii="Arial" w:cs="Arial" w:eastAsia="Arial" w:hAnsi="Arial"/>
          <w:b w:val="false"/>
          <w:bCs w:val="false"/>
          <w:i w:val="false"/>
          <w:iCs w:val="false"/>
          <w:color w:val="2D2D2D"/>
          <w:sz w:val="22"/>
          <w:szCs w:val="22"/>
        </w:rPr>
        <w:t xml:space="preserve">These three are grouped together because they share a common relevance — each affects either baseline sympathetic tone, systemic inflammation, or cochlear blood flow in ways that are directly relevant to tinnitus perception. None of them require elimination. Each warrants honest personal monitoring.</w:t>
      </w:r>
    </w:p>
    <w:p>
      <w:pPr>
        <w:spacing w:after="60" w:before="60"/>
      </w:pPr>
      <w:r>
        <w:t xml:space="preserve"/>
      </w:r>
    </w:p>
    <w:p>
      <w:pPr>
        <w:spacing w:after="40" w:before="80"/>
      </w:pPr>
      <w:r>
        <w:rPr>
          <w:rFonts w:ascii="Arial" w:cs="Arial" w:eastAsia="Arial" w:hAnsi="Arial"/>
          <w:b/>
          <w:bCs/>
          <w:color w:val="2D2D2D"/>
          <w:sz w:val="22"/>
          <w:szCs w:val="22"/>
        </w:rPr>
        <w:t xml:space="preserve">Caffeine</w:t>
      </w:r>
    </w:p>
    <w:p>
      <w:pPr>
        <w:spacing w:after="80" w:before="80"/>
        <w:jc w:val="left"/>
      </w:pPr>
      <w:r>
        <w:rPr>
          <w:rFonts w:ascii="Arial" w:cs="Arial" w:eastAsia="Arial" w:hAnsi="Arial"/>
          <w:b w:val="false"/>
          <w:bCs w:val="false"/>
          <w:i w:val="false"/>
          <w:iCs w:val="false"/>
          <w:color w:val="2D2D2D"/>
          <w:sz w:val="22"/>
          <w:szCs w:val="22"/>
        </w:rPr>
        <w:t xml:space="preserve">Caffeine increases sympathetic nervous system activation and affects cochlear blood flow at higher doses. The relevant question is not whether to eliminate it but whether your current intake is contributing to elevated baseline sympathetic tone. For most people moderate caffeine intake — one to two cups of coffee daily — is unlikely to be a significant factor. Higher intake, particularly later in the day, is worth reducing and monitoring. The change to make is reduction and timing adjustment rather than elimination — cutting intake after midday is the most impactful single caffeine adjustment for most people.</w:t>
      </w:r>
    </w:p>
    <w:p>
      <w:pPr>
        <w:spacing w:after="60" w:before="60"/>
      </w:pPr>
      <w:r>
        <w:t xml:space="preserve"/>
      </w:r>
    </w:p>
    <w:p>
      <w:pPr>
        <w:spacing w:after="40" w:before="80"/>
      </w:pPr>
      <w:r>
        <w:rPr>
          <w:rFonts w:ascii="Arial" w:cs="Arial" w:eastAsia="Arial" w:hAnsi="Arial"/>
          <w:b/>
          <w:bCs/>
          <w:color w:val="2D2D2D"/>
          <w:sz w:val="22"/>
          <w:szCs w:val="22"/>
        </w:rPr>
        <w:t xml:space="preserve">Alcohol</w:t>
      </w:r>
    </w:p>
    <w:p>
      <w:pPr>
        <w:spacing w:after="80" w:before="80"/>
        <w:jc w:val="left"/>
      </w:pPr>
      <w:r>
        <w:rPr>
          <w:rFonts w:ascii="Arial" w:cs="Arial" w:eastAsia="Arial" w:hAnsi="Arial"/>
          <w:b w:val="false"/>
          <w:bCs w:val="false"/>
          <w:i w:val="false"/>
          <w:iCs w:val="false"/>
          <w:color w:val="2D2D2D"/>
          <w:sz w:val="22"/>
          <w:szCs w:val="22"/>
        </w:rPr>
        <w:t xml:space="preserve">Alcohol has a complex relationship with tinnitus. Many people report temporary relief during consumption followed by worsening during the rebound period — the nervous system upregulation that follows alcohol's depressant effect. Others notice no consistent pattern. The honest position is that the relationship varies between individuals and is worth tracking personally rather than applying a blanket rule.</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Use your progress tracker to monitor tinnitus loudness on days following alcohol consumption. A consistent pattern of worsening the following day is meaningful data worth acting on. An absence of pattern means alcohol is probably not a significant factor for you specifically. The tracker gives you the data to answer this question for yourself rather than relying on a general recommendation.</w:t>
      </w:r>
    </w:p>
    <w:p>
      <w:pPr>
        <w:spacing w:after="60" w:before="60"/>
      </w:pPr>
      <w:r>
        <w:t xml:space="preserve"/>
      </w:r>
    </w:p>
    <w:p>
      <w:pPr>
        <w:spacing w:after="40" w:before="80"/>
      </w:pPr>
      <w:r>
        <w:rPr>
          <w:rFonts w:ascii="Arial" w:cs="Arial" w:eastAsia="Arial" w:hAnsi="Arial"/>
          <w:b/>
          <w:bCs/>
          <w:color w:val="2D2D2D"/>
          <w:sz w:val="22"/>
          <w:szCs w:val="22"/>
        </w:rPr>
        <w:t xml:space="preserve">Smoking</w:t>
      </w:r>
    </w:p>
    <w:p>
      <w:pPr>
        <w:spacing w:after="80" w:before="80"/>
        <w:jc w:val="left"/>
      </w:pPr>
      <w:r>
        <w:rPr>
          <w:rFonts w:ascii="Arial" w:cs="Arial" w:eastAsia="Arial" w:hAnsi="Arial"/>
          <w:b w:val="false"/>
          <w:bCs w:val="false"/>
          <w:i w:val="false"/>
          <w:iCs w:val="false"/>
          <w:color w:val="2D2D2D"/>
          <w:sz w:val="22"/>
          <w:szCs w:val="22"/>
        </w:rPr>
        <w:t xml:space="preserve">Smoking produces vasoconstriction that reduces cochlear blood flow — the inner ear is highly sensitive to circulatory changes given its small blood vessel supply. Reduced cochlear blood flow is a direct mechanism for tinnitus maintenance and amplification independent of the somatic pathway. Smoking also drives systemic inflammation, which contributes to the same neurological environment that maintains DCN hypersensitivity.</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This is not a smoking cessation programme and the platform does not prescribe lifestyle choices. The mechanism is worth understanding clearly: if you smoke, it is an active contributing factor to your tinnitus through a separate and additional pathway to the somatic one. Reduction is worth considering on its merits.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Mechanism</w:t>
            </w:r>
          </w:p>
          <w:p>
            <w:pPr>
              <w:spacing w:after="0" w:before="0"/>
            </w:pPr>
            <w:r>
              <w:rPr>
                <w:rFonts w:ascii="Arial" w:cs="Arial" w:eastAsia="Arial" w:hAnsi="Arial"/>
                <w:i/>
                <w:iCs/>
                <w:color w:val="555555"/>
                <w:sz w:val="20"/>
                <w:szCs w:val="20"/>
              </w:rPr>
              <w:t xml:space="preserve">Caffeine elevates sympathetic tone and at higher doses affects cochlear blood flow. Alcohol produces nervous system rebound upregulation following its depressant effect — the period of heightened sympathetic tone following consumption is a known tinnitus amplifier for susceptible individuals. Smoking causes vasoconstriction reducing cochlear blood supply and drives systemic inflammation that maintains the neurological environment in which DCN hypersensitivity persists.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0" w:before="0"/>
              <w:jc w:val="center"/>
            </w:pPr>
            <w:r>
              <w:rPr>
                <w:rFonts w:ascii="Arial" w:cs="Arial" w:eastAsia="Arial" w:hAnsi="Arial"/>
                <w:i/>
                <w:iCs/>
                <w:color w:val="555555"/>
                <w:sz w:val="20"/>
                <w:szCs w:val="20"/>
              </w:rPr>
              <w:t xml:space="preserve">I understand this habit and what I need to change  </w:t>
            </w:r>
            <w:r>
              <w:rPr>
                <w:rFonts w:ascii="Arial" w:cs="Arial" w:eastAsia="Arial" w:hAnsi="Arial"/>
                <w:b/>
                <w:bCs/>
                <w:color w:val="0A7C8C"/>
                <w:sz w:val="20"/>
                <w:szCs w:val="20"/>
              </w:rPr>
              <w:t xml:space="preserve">[ Acknowledge ]</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System Note</w:t>
            </w:r>
          </w:p>
          <w:p>
            <w:pPr>
              <w:spacing w:after="0" w:before="0"/>
            </w:pPr>
            <w:r>
              <w:rPr>
                <w:rFonts w:ascii="Arial" w:cs="Arial" w:eastAsia="Arial" w:hAnsi="Arial"/>
                <w:i/>
                <w:iCs/>
                <w:color w:val="555555"/>
                <w:sz w:val="20"/>
                <w:szCs w:val="20"/>
              </w:rPr>
              <w:t xml:space="preserve">"Flagged for your profile" label mapping for systemic habits: Habit 1 (exercise) — high_intensity_exercise confirmed from Module 3 occupational/activity load, or three or more nervous system flags confirmed. Habit 2 (caffeine/alcohol/smoking) — high_caffeine confirmed or alcohol_pattern confirmed from Module 4 nervous system assessment, or three or more nervous system flags confirmed.</w:t>
            </w:r>
          </w:p>
        </w:tc>
      </w:tr>
    </w:tbl>
    <w:p>
      <w:pPr>
        <w:spacing w:after="60" w:before="60"/>
      </w:pPr>
      <w:r>
        <w:t xml:space="preserve"/>
      </w:r>
    </w:p>
    <w:p>
      <w:pPr>
        <w:pBdr>
          <w:bottom w:val="single" w:color="0A7C8C" w:sz="4" w:space="1"/>
        </w:pBdr>
        <w:spacing w:after="200" w:before="200"/>
      </w:pPr>
      <w:r>
        <w:t xml:space="preserve"/>
      </w:r>
    </w:p>
    <w:p>
      <w:pPr>
        <w:pStyle w:val="Heading2"/>
        <w:spacing w:after="120" w:before="240"/>
      </w:pPr>
      <w:r>
        <w:rPr>
          <w:rFonts w:ascii="Arial" w:cs="Arial" w:eastAsia="Arial" w:hAnsi="Arial"/>
          <w:b/>
          <w:bCs/>
          <w:color w:val="2D2D2D"/>
          <w:sz w:val="28"/>
          <w:szCs w:val="28"/>
        </w:rPr>
        <w:t xml:space="preserve">C.5 — Diet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8C" w:sz="1"/>
              <w:left w:val="single" w:color="0A7C8C" w:sz="1"/>
              <w:bottom w:val="single" w:color="0A7C8C" w:sz="1"/>
              <w:right w:val="single" w:color="0A7C8C" w:sz="1"/>
            </w:tcBorders>
            <w:shd w:fill="E8F5F7" w:val="clear"/>
            <w:tcMar>
              <w:top w:type="dxa" w:w="120"/>
              <w:left w:type="dxa" w:w="180"/>
              <w:bottom w:type="dxa" w:w="120"/>
              <w:right w:type="dxa" w:w="180"/>
            </w:tcMar>
          </w:tcPr>
          <w:p>
            <w:pPr>
              <w:spacing w:after="0" w:before="0"/>
              <w:jc w:val="center"/>
            </w:pPr>
            <w:r>
              <w:rPr>
                <w:rFonts w:ascii="Arial" w:cs="Arial" w:eastAsia="Arial" w:hAnsi="Arial"/>
                <w:b/>
                <w:bCs/>
                <w:color w:val="0A7C8C"/>
                <w:sz w:val="20"/>
                <w:szCs w:val="20"/>
              </w:rPr>
              <w:t xml:space="preserve">Daily Focus — </w:t>
            </w:r>
            <w:r>
              <w:rPr>
                <w:rFonts w:ascii="Arial" w:cs="Arial" w:eastAsia="Arial" w:hAnsi="Arial"/>
                <w:i/>
                <w:iCs/>
                <w:color w:val="555555"/>
                <w:sz w:val="20"/>
                <w:szCs w:val="20"/>
              </w:rPr>
              <w:t xml:space="preserve">Reduce the inflammatory load your protocol is working within</w:t>
            </w:r>
          </w:p>
        </w:tc>
      </w:tr>
    </w:tbl>
    <w:p>
      <w:pPr>
        <w:spacing w:after="60" w:before="60"/>
      </w:pPr>
      <w:r>
        <w:t xml:space="preserve"/>
      </w:r>
    </w:p>
    <w:p>
      <w:pPr>
        <w:spacing w:after="80" w:before="200"/>
      </w:pPr>
      <w:r>
        <w:rPr>
          <w:rFonts w:ascii="Arial" w:cs="Arial" w:eastAsia="Arial" w:hAnsi="Arial"/>
          <w:b/>
          <w:bCs/>
          <w:color w:val="2D2D2D"/>
          <w:sz w:val="24"/>
          <w:szCs w:val="24"/>
        </w:rPr>
        <w:t xml:space="preserve">Eating to Support Recovery</w:t>
      </w:r>
    </w:p>
    <w:p>
      <w:pPr>
        <w:spacing w:after="80" w:before="80"/>
        <w:jc w:val="left"/>
      </w:pPr>
      <w:r>
        <w:rPr>
          <w:rFonts w:ascii="Arial" w:cs="Arial" w:eastAsia="Arial" w:hAnsi="Arial"/>
          <w:b w:val="false"/>
          <w:bCs w:val="false"/>
          <w:i w:val="false"/>
          <w:iCs w:val="false"/>
          <w:color w:val="2D2D2D"/>
          <w:sz w:val="22"/>
          <w:szCs w:val="22"/>
        </w:rPr>
        <w:t xml:space="preserve">The honest position on diet and tinnitus is this: there is no specific dietary intervention with strong evidence for directly reducing tinnitus. Anyone claiming otherwise is overclaiming. What the evidence does support — and what is mechanistically plausible given what you now know about DCN hypersensitivity — is that reducing systemic inflammatory load creates a better neurological environment for the protocol work to operate in. Chronic systemic inflammation maintains the kind of central sensitisation that keeps the DCN hypersensitive. Diet is not the primary intervention here. It is a supporting condition.</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The principles below are practical and non-prescriptive. They are not a meal plan and they are not a list of foods to eliminate. They are adjustments worth integrating at whatever pace is realistic — the goal is a general shift in dietary pattern rather than a dramatic overhaul.</w:t>
      </w:r>
    </w:p>
    <w:p>
      <w:pPr>
        <w:spacing w:after="60" w:before="60"/>
      </w:pPr>
      <w:r>
        <w:t xml:space="preserve"/>
      </w:r>
    </w:p>
    <w:p>
      <w:pPr>
        <w:spacing w:after="60" w:before="160"/>
      </w:pPr>
      <w:r>
        <w:rPr>
          <w:rFonts w:ascii="Arial" w:cs="Arial" w:eastAsia="Arial" w:hAnsi="Arial"/>
          <w:b/>
          <w:bCs/>
          <w:color w:val="555555"/>
          <w:sz w:val="22"/>
          <w:szCs w:val="22"/>
        </w:rPr>
        <w:t xml:space="preserve">Omega-3 fatty acids</w:t>
      </w:r>
    </w:p>
    <w:p>
      <w:pPr>
        <w:spacing w:after="80" w:before="80"/>
        <w:jc w:val="left"/>
      </w:pPr>
      <w:r>
        <w:rPr>
          <w:rFonts w:ascii="Arial" w:cs="Arial" w:eastAsia="Arial" w:hAnsi="Arial"/>
          <w:b w:val="false"/>
          <w:bCs w:val="false"/>
          <w:i w:val="false"/>
          <w:iCs w:val="false"/>
          <w:color w:val="2D2D2D"/>
          <w:sz w:val="22"/>
          <w:szCs w:val="22"/>
        </w:rPr>
        <w:t xml:space="preserve">Omega-3 fatty acids have a well-established anti-inflammatory role and are among the most consistently supported dietary factors for reducing systemic inflammation. Practical food sources: oily fish — salmon, mackerel, sardines, anchovies — two to three portions weekly, walnuts, flaxseed, and chia seeds. For members who do not regularly eat oily fish, dietary intake alone is often insufficient to reach meaningful levels and supplementation is worth considering. Omega-3 supplementation is covered in the next section.</w:t>
      </w:r>
    </w:p>
    <w:p>
      <w:pPr>
        <w:spacing w:after="60" w:before="60"/>
      </w:pPr>
      <w:r>
        <w:t xml:space="preserve"/>
      </w:r>
    </w:p>
    <w:p>
      <w:pPr>
        <w:spacing w:after="60" w:before="160"/>
      </w:pPr>
      <w:r>
        <w:rPr>
          <w:rFonts w:ascii="Arial" w:cs="Arial" w:eastAsia="Arial" w:hAnsi="Arial"/>
          <w:b/>
          <w:bCs/>
          <w:color w:val="555555"/>
          <w:sz w:val="22"/>
          <w:szCs w:val="22"/>
        </w:rPr>
        <w:t xml:space="preserve">Reducing ultra-processed food and refined sugar</w:t>
      </w:r>
    </w:p>
    <w:p>
      <w:pPr>
        <w:spacing w:after="80" w:before="80"/>
        <w:jc w:val="left"/>
      </w:pPr>
      <w:r>
        <w:rPr>
          <w:rFonts w:ascii="Arial" w:cs="Arial" w:eastAsia="Arial" w:hAnsi="Arial"/>
          <w:b w:val="false"/>
          <w:bCs w:val="false"/>
          <w:i w:val="false"/>
          <w:iCs w:val="false"/>
          <w:color w:val="2D2D2D"/>
          <w:sz w:val="22"/>
          <w:szCs w:val="22"/>
        </w:rPr>
        <w:t xml:space="preserve">Ultra-processed foods and refined sugar are the dietary factors most consistently associated with elevated systemic inflammatory markers. The mechanism is not specific to tinnitus — it is general systemic inflammation that maintains the neurological environment in which central sensitisation persists. The practical adjustment is reduction rather than elimination: fewer processed snacks, fewer sugary drinks, less refined carbohydrate as a staple. Small consistent reductions in daily ultra-processed food intake produce measurable reductions in inflammatory markers over weeks to months.</w:t>
      </w:r>
    </w:p>
    <w:p>
      <w:pPr>
        <w:spacing w:after="60" w:before="60"/>
      </w:pPr>
      <w:r>
        <w:t xml:space="preserve"/>
      </w:r>
    </w:p>
    <w:p>
      <w:pPr>
        <w:spacing w:after="60" w:before="160"/>
      </w:pPr>
      <w:r>
        <w:rPr>
          <w:rFonts w:ascii="Arial" w:cs="Arial" w:eastAsia="Arial" w:hAnsi="Arial"/>
          <w:b/>
          <w:bCs/>
          <w:color w:val="555555"/>
          <w:sz w:val="22"/>
          <w:szCs w:val="22"/>
        </w:rPr>
        <w:t xml:space="preserve">Hydration</w:t>
      </w:r>
    </w:p>
    <w:p>
      <w:pPr>
        <w:spacing w:after="80" w:before="80"/>
        <w:jc w:val="left"/>
      </w:pPr>
      <w:r>
        <w:rPr>
          <w:rFonts w:ascii="Arial" w:cs="Arial" w:eastAsia="Arial" w:hAnsi="Arial"/>
          <w:b w:val="false"/>
          <w:bCs w:val="false"/>
          <w:i w:val="false"/>
          <w:iCs w:val="false"/>
          <w:color w:val="2D2D2D"/>
          <w:sz w:val="22"/>
          <w:szCs w:val="22"/>
        </w:rPr>
        <w:t xml:space="preserve">Adequate hydration is relevant to joint health generally and to TMJ disc integrity specifically. The TMJ disc is an avascular fibrocartilaginous structure — it receives nutrition and maintains its mechanical properties partly through adequate systemic hydration. Chronic mild dehydration contributes to reduced disc resilience over time. The practical indicator is urine colour — pale yellow throughout the day indicates adequate hydration. Dark yellow or amber indicates insufficient intake. A large glass of water first thing in the morning and consistent intake through the day is sufficient for most people without needing to count litres.</w:t>
      </w:r>
    </w:p>
    <w:p>
      <w:pPr>
        <w:spacing w:after="60" w:before="60"/>
      </w:pPr>
      <w:r>
        <w:t xml:space="preserve"/>
      </w:r>
    </w:p>
    <w:p>
      <w:pPr>
        <w:spacing w:after="60" w:before="160"/>
      </w:pPr>
      <w:r>
        <w:rPr>
          <w:rFonts w:ascii="Arial" w:cs="Arial" w:eastAsia="Arial" w:hAnsi="Arial"/>
          <w:b/>
          <w:bCs/>
          <w:color w:val="555555"/>
          <w:sz w:val="22"/>
          <w:szCs w:val="22"/>
        </w:rPr>
        <w:t xml:space="preserve">Magnesium-rich foods</w:t>
      </w:r>
    </w:p>
    <w:p>
      <w:pPr>
        <w:spacing w:after="80" w:before="80"/>
        <w:jc w:val="left"/>
      </w:pPr>
      <w:r>
        <w:rPr>
          <w:rFonts w:ascii="Arial" w:cs="Arial" w:eastAsia="Arial" w:hAnsi="Arial"/>
          <w:b w:val="false"/>
          <w:bCs w:val="false"/>
          <w:i w:val="false"/>
          <w:iCs w:val="false"/>
          <w:color w:val="2D2D2D"/>
          <w:sz w:val="22"/>
          <w:szCs w:val="22"/>
        </w:rPr>
        <w:t xml:space="preserve">Magnesium is involved in muscle relaxation, neuromuscular function, and has a neuroprotective role relevant to auditory nerve function. Deficiency is common — estimates suggest a significant proportion of the population does not meet recommended intake through diet alone. Food sources: leafy green vegetables, nuts — particularly almonds and cashews — seeds, legumes, and dark chocolate. Integrating these regularly is a practical starting point. For members whose dietary intake is consistently low in these food groups, supplementation is worth considering. Magnesium supplementation is covered in the next section.</w:t>
      </w:r>
    </w:p>
    <w:p>
      <w:pPr>
        <w:spacing w:after="60" w:before="60"/>
      </w:pPr>
      <w:r>
        <w:t xml:space="preserve"/>
      </w:r>
    </w:p>
    <w:p>
      <w:pPr>
        <w:spacing w:after="60" w:before="160"/>
      </w:pPr>
      <w:r>
        <w:rPr>
          <w:rFonts w:ascii="Arial" w:cs="Arial" w:eastAsia="Arial" w:hAnsi="Arial"/>
          <w:b/>
          <w:bCs/>
          <w:color w:val="555555"/>
          <w:sz w:val="22"/>
          <w:szCs w:val="22"/>
        </w:rPr>
        <w:t xml:space="preserve">Anti-inflammatory foods</w:t>
      </w:r>
    </w:p>
    <w:p>
      <w:pPr>
        <w:spacing w:after="80" w:before="80"/>
        <w:jc w:val="left"/>
      </w:pPr>
      <w:r>
        <w:rPr>
          <w:rFonts w:ascii="Arial" w:cs="Arial" w:eastAsia="Arial" w:hAnsi="Arial"/>
          <w:b w:val="false"/>
          <w:bCs w:val="false"/>
          <w:i w:val="false"/>
          <w:iCs w:val="false"/>
          <w:color w:val="2D2D2D"/>
          <w:sz w:val="22"/>
          <w:szCs w:val="22"/>
        </w:rPr>
        <w:t xml:space="preserve">Beyond omega-3 sources, a range of foods have meaningful anti-inflammatory properties worth integrating practically rather than treating as a supplement protocol. Berries — particularly blueberries and cherries — contain anthocyanins with anti-inflammatory activity. Turmeric contains curcumin, one of the more studied natural anti-inflammatory compounds — most effectively absorbed with black pepper and a fat source. Ginger has both anti-inflammatory and mild analgesic properties. Olive oil — particularly extra virgin — is a core component of the Mediterranean dietary pattern consistently associated with reduced systemic inflammatory markers. These are ingredients to use regularly rather than consume therapeutically.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Mechanism</w:t>
            </w:r>
          </w:p>
          <w:p>
            <w:pPr>
              <w:spacing w:after="0" w:before="0"/>
            </w:pPr>
            <w:r>
              <w:rPr>
                <w:rFonts w:ascii="Arial" w:cs="Arial" w:eastAsia="Arial" w:hAnsi="Arial"/>
                <w:i/>
                <w:iCs/>
                <w:color w:val="555555"/>
                <w:sz w:val="20"/>
                <w:szCs w:val="20"/>
              </w:rPr>
              <w:t xml:space="preserve">Chronic systemic inflammation maintains central sensitisation — the state of heightened neural responsiveness in which DCN hypersensitivity persists. The primary intervention for somatic tinnitus is reducing the abnormal peripheral input driving DCN activity through the Phase 3 protocol. Reducing systemic inflammatory load through dietary pattern does not replace that intervention — it supports the neurological environment in which it operates. A less inflamed system is a more responsive one.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0" w:before="0"/>
              <w:jc w:val="center"/>
            </w:pPr>
            <w:r>
              <w:rPr>
                <w:rFonts w:ascii="Arial" w:cs="Arial" w:eastAsia="Arial" w:hAnsi="Arial"/>
                <w:i/>
                <w:iCs/>
                <w:color w:val="555555"/>
                <w:sz w:val="20"/>
                <w:szCs w:val="20"/>
              </w:rPr>
              <w:t xml:space="preserve">I understand these principles and will integrate what is practical for me  </w:t>
            </w:r>
            <w:r>
              <w:rPr>
                <w:rFonts w:ascii="Arial" w:cs="Arial" w:eastAsia="Arial" w:hAnsi="Arial"/>
                <w:b/>
                <w:bCs/>
                <w:color w:val="0A7C8C"/>
                <w:sz w:val="20"/>
                <w:szCs w:val="20"/>
              </w:rPr>
              <w:t xml:space="preserve">[ Acknowledge ]</w:t>
            </w:r>
          </w:p>
        </w:tc>
      </w:tr>
    </w:tbl>
    <w:p>
      <w:pPr>
        <w:spacing w:after="60" w:before="60"/>
      </w:pPr>
      <w:r>
        <w:t xml:space="preserve"/>
      </w:r>
    </w:p>
    <w:p>
      <w:pPr>
        <w:pBdr>
          <w:bottom w:val="single" w:color="0A7C8C" w:sz="4" w:space="1"/>
        </w:pBdr>
        <w:spacing w:after="200" w:before="200"/>
      </w:pPr>
      <w:r>
        <w:t xml:space="preserve"/>
      </w:r>
    </w:p>
    <w:p>
      <w:pPr>
        <w:pStyle w:val="Heading2"/>
        <w:spacing w:after="120" w:before="240"/>
      </w:pPr>
      <w:r>
        <w:rPr>
          <w:rFonts w:ascii="Arial" w:cs="Arial" w:eastAsia="Arial" w:hAnsi="Arial"/>
          <w:b/>
          <w:bCs/>
          <w:color w:val="2D2D2D"/>
          <w:sz w:val="28"/>
          <w:szCs w:val="28"/>
        </w:rPr>
        <w:t xml:space="preserve">C.6 — Supplements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8C" w:sz="1"/>
              <w:left w:val="single" w:color="0A7C8C" w:sz="1"/>
              <w:bottom w:val="single" w:color="0A7C8C" w:sz="1"/>
              <w:right w:val="single" w:color="0A7C8C" w:sz="1"/>
            </w:tcBorders>
            <w:shd w:fill="E8F5F7" w:val="clear"/>
            <w:tcMar>
              <w:top w:type="dxa" w:w="120"/>
              <w:left w:type="dxa" w:w="180"/>
              <w:bottom w:type="dxa" w:w="120"/>
              <w:right w:type="dxa" w:w="180"/>
            </w:tcMar>
          </w:tcPr>
          <w:p>
            <w:pPr>
              <w:spacing w:after="0" w:before="0"/>
              <w:jc w:val="center"/>
            </w:pPr>
            <w:r>
              <w:rPr>
                <w:rFonts w:ascii="Arial" w:cs="Arial" w:eastAsia="Arial" w:hAnsi="Arial"/>
                <w:b/>
                <w:bCs/>
                <w:color w:val="0A7C8C"/>
                <w:sz w:val="20"/>
                <w:szCs w:val="20"/>
              </w:rPr>
              <w:t xml:space="preserve">Daily Focus — </w:t>
            </w:r>
            <w:r>
              <w:rPr>
                <w:rFonts w:ascii="Arial" w:cs="Arial" w:eastAsia="Arial" w:hAnsi="Arial"/>
                <w:i/>
                <w:iCs/>
                <w:color w:val="555555"/>
                <w:sz w:val="20"/>
                <w:szCs w:val="20"/>
              </w:rPr>
              <w:t xml:space="preserve">Consider the supporting factors worth adding alongside the protocol</w:t>
            </w:r>
          </w:p>
        </w:tc>
      </w:tr>
    </w:tbl>
    <w:p>
      <w:pPr>
        <w:spacing w:after="60" w:before="60"/>
      </w:pPr>
      <w:r>
        <w:t xml:space="preserve"/>
      </w:r>
    </w:p>
    <w:p>
      <w:pPr>
        <w:spacing w:after="80" w:before="200"/>
      </w:pPr>
      <w:r>
        <w:rPr>
          <w:rFonts w:ascii="Arial" w:cs="Arial" w:eastAsia="Arial" w:hAnsi="Arial"/>
          <w:b/>
          <w:bCs/>
          <w:color w:val="2D2D2D"/>
          <w:sz w:val="24"/>
          <w:szCs w:val="24"/>
        </w:rPr>
        <w:t xml:space="preserve">Supporting the Protocol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8C" w:sz="1"/>
              <w:left w:val="single" w:color="0A7C8C" w:sz="1"/>
              <w:bottom w:val="single" w:color="0A7C8C" w:sz="1"/>
              <w:right w:val="single" w:color="0A7C8C" w:sz="1"/>
            </w:tcBorders>
            <w:shd w:fill="E8F5F7" w:val="clear"/>
            <w:tcMar>
              <w:top w:type="dxa" w:w="100"/>
              <w:left w:type="dxa" w:w="180"/>
              <w:bottom w:type="dxa" w:w="100"/>
              <w:right w:type="dxa" w:w="180"/>
            </w:tcMar>
          </w:tcPr>
          <w:p>
            <w:pPr>
              <w:spacing w:after="0" w:before="0"/>
            </w:pPr>
            <w:r>
              <w:rPr>
                <w:rFonts w:ascii="Arial" w:cs="Arial" w:eastAsia="Arial" w:hAnsi="Arial"/>
                <w:color w:val="555555"/>
                <w:sz w:val="20"/>
                <w:szCs w:val="20"/>
              </w:rPr>
              <w:t xml:space="preserve">Evidence quality across all supplements in this section: </w:t>
            </w:r>
            <w:r>
              <w:rPr>
                <w:rFonts w:ascii="Arial" w:cs="Arial" w:eastAsia="Arial" w:hAnsi="Arial"/>
                <w:b/>
                <w:bCs/>
                <w:color w:val="0A7C8C"/>
                <w:sz w:val="20"/>
                <w:szCs w:val="20"/>
              </w:rPr>
              <w:t xml:space="preserve">Moderate</w:t>
            </w:r>
            <w:r>
              <w:rPr>
                <w:rFonts w:ascii="Arial" w:cs="Arial" w:eastAsia="Arial" w:hAnsi="Arial"/>
                <w:i/>
                <w:iCs/>
                <w:color w:val="555555"/>
                <w:sz w:val="20"/>
                <w:szCs w:val="20"/>
              </w:rPr>
              <w:t xml:space="preserve"> — plausible mechanistic rationale with some general evidence support, limited tinnitus-specific evidence. These supplements are presented as potentially useful supporting factors alongside the primary protocol work. They are not treatments for tinnitus. Follow standard labelling for dosage guidance — if you are on medication or have an existing health condition, check with your pharmacist or GP before starting any new supplement.</w:t>
            </w:r>
          </w:p>
        </w:tc>
      </w:tr>
    </w:tbl>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Three supplements have a sufficiently plausible mechanistic rationale to be worth considering alongside the Phase 3 protocol work. They are included because the rationale is honest, the risk profile is low, and correcting deficiency — which is common across all three — is potentially meaningful. They are not included because there is strong direct evidence that supplementing them reduces tinnitus. That evidence does not currently exist at a level that justifies that claim.</w:t>
      </w:r>
    </w:p>
    <w:p>
      <w:pPr>
        <w:spacing w:after="60" w:before="60"/>
      </w:pPr>
      <w:r>
        <w:t xml:space="preserve"/>
      </w:r>
    </w:p>
    <w:p>
      <w:pPr>
        <w:spacing w:after="60" w:before="160"/>
      </w:pPr>
      <w:r>
        <w:rPr>
          <w:rFonts w:ascii="Arial" w:cs="Arial" w:eastAsia="Arial" w:hAnsi="Arial"/>
          <w:b/>
          <w:bCs/>
          <w:color w:val="555555"/>
          <w:sz w:val="22"/>
          <w:szCs w:val="22"/>
        </w:rPr>
        <w:t xml:space="preserve">Magnesium</w:t>
      </w:r>
    </w:p>
    <w:p>
      <w:pPr>
        <w:spacing w:after="80" w:before="80"/>
        <w:jc w:val="left"/>
      </w:pPr>
      <w:r>
        <w:rPr>
          <w:rFonts w:ascii="Arial" w:cs="Arial" w:eastAsia="Arial" w:hAnsi="Arial"/>
          <w:b w:val="false"/>
          <w:bCs w:val="false"/>
          <w:i w:val="false"/>
          <w:iCs w:val="false"/>
          <w:color w:val="2D2D2D"/>
          <w:sz w:val="22"/>
          <w:szCs w:val="22"/>
        </w:rPr>
        <w:t xml:space="preserve">Magnesium is involved in muscle relaxation, neuromuscular function, and has a neuroprotective role relevant to auditory nerve health. The relevance to somatic tinnitus is primarily through the muscle tension angle — magnesium deficiency is associated with increased muscle hypertonicity, which directly feeds back into whichever primary driver pathway is active. Deficiency is common and often goes unidentified. Correcting it through supplementation is low risk and potentially meaningful for members whose dietary intake of magnesium-rich foods is consistently low.</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Food sources were covered in the diet foundations section. For members who do not regularly eat leafy greens, nuts, seeds, and legumes, supplementation is a practical alternative. Magnesium glycinate and magnesium malate are generally better tolerated than magnesium oxide, which has lower bioavailability and is more likely to cause digestive discomfort at higher doses. Follow standard labelling for dosage.</w:t>
      </w:r>
    </w:p>
    <w:p>
      <w:pPr>
        <w:spacing w:after="60" w:before="60"/>
      </w:pPr>
      <w:r>
        <w:t xml:space="preserve"/>
      </w:r>
    </w:p>
    <w:p>
      <w:pPr>
        <w:spacing w:after="60" w:before="160"/>
      </w:pPr>
      <w:r>
        <w:rPr>
          <w:rFonts w:ascii="Arial" w:cs="Arial" w:eastAsia="Arial" w:hAnsi="Arial"/>
          <w:b/>
          <w:bCs/>
          <w:color w:val="555555"/>
          <w:sz w:val="22"/>
          <w:szCs w:val="22"/>
        </w:rPr>
        <w:t xml:space="preserve">Omega-3</w:t>
      </w:r>
    </w:p>
    <w:p>
      <w:pPr>
        <w:spacing w:after="80" w:before="80"/>
        <w:jc w:val="left"/>
      </w:pPr>
      <w:r>
        <w:rPr>
          <w:rFonts w:ascii="Arial" w:cs="Arial" w:eastAsia="Arial" w:hAnsi="Arial"/>
          <w:b w:val="false"/>
          <w:bCs w:val="false"/>
          <w:i w:val="false"/>
          <w:iCs w:val="false"/>
          <w:color w:val="2D2D2D"/>
          <w:sz w:val="22"/>
          <w:szCs w:val="22"/>
        </w:rPr>
        <w:t xml:space="preserve">Omega-3 fatty acids have a well-established anti-inflammatory role and the strongest general evidence base of the three supplements in this section. The tinnitus-specific evidence is limited — but the systemic inflammation rationale is mechanistically sound and the general evidence for omega-3's anti-inflammatory effects is robust. For members who do not regularly eat oily fish, supplementation is a practical way to reach meaningful intake levels that diet alone is unlikely to provide.</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Standard fish oil capsules are the most accessible form. Algae-based omega-3 is the plant-based equivalent and provides the same EPA and DHA forms. Flaxseed oil provides ALA which the body converts to EPA and DHA at lower efficiency — less effective than direct EPA/DHA sources but better than no omega-3 supplementation. Follow standard labelling for dosage.</w:t>
      </w:r>
    </w:p>
    <w:p>
      <w:pPr>
        <w:spacing w:after="60" w:before="60"/>
      </w:pPr>
      <w:r>
        <w:t xml:space="preserve"/>
      </w:r>
    </w:p>
    <w:p>
      <w:pPr>
        <w:spacing w:after="60" w:before="160"/>
      </w:pPr>
      <w:r>
        <w:rPr>
          <w:rFonts w:ascii="Arial" w:cs="Arial" w:eastAsia="Arial" w:hAnsi="Arial"/>
          <w:b/>
          <w:bCs/>
          <w:color w:val="555555"/>
          <w:sz w:val="22"/>
          <w:szCs w:val="22"/>
        </w:rPr>
        <w:t xml:space="preserve">Vitamin D</w:t>
      </w:r>
    </w:p>
    <w:p>
      <w:pPr>
        <w:spacing w:after="80" w:before="80"/>
        <w:jc w:val="left"/>
      </w:pPr>
      <w:r>
        <w:rPr>
          <w:rFonts w:ascii="Arial" w:cs="Arial" w:eastAsia="Arial" w:hAnsi="Arial"/>
          <w:b w:val="false"/>
          <w:bCs w:val="false"/>
          <w:i w:val="false"/>
          <w:iCs w:val="false"/>
          <w:color w:val="2D2D2D"/>
          <w:sz w:val="22"/>
          <w:szCs w:val="22"/>
        </w:rPr>
        <w:t xml:space="preserve">Vitamin D deficiency is prevalent — particularly in northern latitudes with limited sunlight exposure for much of the year — and is associated with chronic pain conditions and TMJ dysfunction specifically. The direct evidence linking vitamin D deficiency to tinnitus is limited. The rationale for inclusion is correcting a common deficiency that has documented associations with the musculoskeletal conditions most relevant to somatic tinnitus, rather than treating tinnitus directly.</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Worth checking your levels before assuming relevance — a simple blood test through your GP will confirm whether deficiency is a factor in your case. Supplementation is straightforward and low risk at standard doses. Vitamin D3 is the preferred form. Follow standard labelling for dosage — higher dose supplementation beyond standard levels should be discussed with a GP.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Mechanism</w:t>
            </w:r>
          </w:p>
          <w:p>
            <w:pPr>
              <w:spacing w:after="0" w:before="0"/>
            </w:pPr>
            <w:r>
              <w:rPr>
                <w:rFonts w:ascii="Arial" w:cs="Arial" w:eastAsia="Arial" w:hAnsi="Arial"/>
                <w:i/>
                <w:iCs/>
                <w:color w:val="555555"/>
                <w:sz w:val="20"/>
                <w:szCs w:val="20"/>
              </w:rPr>
              <w:t xml:space="preserve">Magnesium deficiency increases muscle hypertonicity and reduces neuromuscular relaxation capacity — directly relevant to the jaw and cervical tension driving the primary pathways. Omega-3 reduces systemic inflammatory load, supporting the neurological environment in which DCN hypersensitivity is maintained. Vitamin D deficiency is associated with musculoskeletal dysfunction in the structures most relevant to somatic tinnitus — correction addresses a potential contributing factor rather than the tinnitus directly.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0" w:before="0"/>
              <w:jc w:val="center"/>
            </w:pPr>
            <w:r>
              <w:rPr>
                <w:rFonts w:ascii="Arial" w:cs="Arial" w:eastAsia="Arial" w:hAnsi="Arial"/>
                <w:i/>
                <w:iCs/>
                <w:color w:val="555555"/>
                <w:sz w:val="20"/>
                <w:szCs w:val="20"/>
              </w:rPr>
              <w:t xml:space="preserve">I understand the evidence context and will consider what is relevant for me  </w:t>
            </w:r>
            <w:r>
              <w:rPr>
                <w:rFonts w:ascii="Arial" w:cs="Arial" w:eastAsia="Arial" w:hAnsi="Arial"/>
                <w:b/>
                <w:bCs/>
                <w:color w:val="0A7C8C"/>
                <w:sz w:val="20"/>
                <w:szCs w:val="20"/>
              </w:rPr>
              <w:t xml:space="preserve">[ Acknowledge ]</w:t>
            </w:r>
          </w:p>
        </w:tc>
      </w:tr>
    </w:tbl>
    <w:p>
      <w:pPr>
        <w:spacing w:after="60" w:before="60"/>
      </w:pPr>
      <w:r>
        <w:t xml:space="preserve"/>
      </w:r>
    </w:p>
    <w:p>
      <w:pPr>
        <w:pBdr>
          <w:bottom w:val="single" w:color="0A7C8C" w:sz="4" w:space="1"/>
        </w:pBdr>
        <w:spacing w:after="200" w:before="200"/>
      </w:pPr>
      <w:r>
        <w:t xml:space="preserve"/>
      </w:r>
    </w:p>
    <w:p>
      <w:pPr>
        <w:pStyle w:val="Heading2"/>
        <w:spacing w:after="120" w:before="240"/>
      </w:pPr>
      <w:r>
        <w:rPr>
          <w:rFonts w:ascii="Arial" w:cs="Arial" w:eastAsia="Arial" w:hAnsi="Arial"/>
          <w:b/>
          <w:bCs/>
          <w:color w:val="2D2D2D"/>
          <w:sz w:val="28"/>
          <w:szCs w:val="28"/>
        </w:rPr>
        <w:t xml:space="preserve">C.7 — Sleep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8C" w:sz="1"/>
              <w:left w:val="single" w:color="0A7C8C" w:sz="1"/>
              <w:bottom w:val="single" w:color="0A7C8C" w:sz="1"/>
              <w:right w:val="single" w:color="0A7C8C" w:sz="1"/>
            </w:tcBorders>
            <w:shd w:fill="E8F5F7" w:val="clear"/>
            <w:tcMar>
              <w:top w:type="dxa" w:w="120"/>
              <w:left w:type="dxa" w:w="180"/>
              <w:bottom w:type="dxa" w:w="120"/>
              <w:right w:type="dxa" w:w="180"/>
            </w:tcMar>
          </w:tcPr>
          <w:p>
            <w:pPr>
              <w:spacing w:after="0" w:before="0"/>
              <w:jc w:val="center"/>
            </w:pPr>
            <w:r>
              <w:rPr>
                <w:rFonts w:ascii="Arial" w:cs="Arial" w:eastAsia="Arial" w:hAnsi="Arial"/>
                <w:b/>
                <w:bCs/>
                <w:color w:val="0A7C8C"/>
                <w:sz w:val="20"/>
                <w:szCs w:val="20"/>
              </w:rPr>
              <w:t xml:space="preserve">Daily Focus — </w:t>
            </w:r>
            <w:r>
              <w:rPr>
                <w:rFonts w:ascii="Arial" w:cs="Arial" w:eastAsia="Arial" w:hAnsi="Arial"/>
                <w:i/>
                <w:iCs/>
                <w:color w:val="555555"/>
                <w:sz w:val="20"/>
                <w:szCs w:val="20"/>
              </w:rPr>
              <w:t xml:space="preserve">Address the overnight patterns that rebuild what the protocol releases</w:t>
            </w:r>
          </w:p>
        </w:tc>
      </w:tr>
    </w:tbl>
    <w:p>
      <w:pPr>
        <w:spacing w:after="60" w:before="60"/>
      </w:pPr>
      <w:r>
        <w:t xml:space="preserve"/>
      </w:r>
    </w:p>
    <w:p>
      <w:pPr>
        <w:spacing w:after="80" w:before="200"/>
      </w:pPr>
      <w:r>
        <w:rPr>
          <w:rFonts w:ascii="Arial" w:cs="Arial" w:eastAsia="Arial" w:hAnsi="Arial"/>
          <w:b/>
          <w:bCs/>
          <w:color w:val="2D2D2D"/>
          <w:sz w:val="24"/>
          <w:szCs w:val="24"/>
        </w:rPr>
        <w:t xml:space="preserve">Sleep as a Maintaining Factor</w:t>
      </w:r>
    </w:p>
    <w:p>
      <w:pPr>
        <w:spacing w:after="80" w:before="80"/>
        <w:jc w:val="left"/>
      </w:pPr>
      <w:r>
        <w:rPr>
          <w:rFonts w:ascii="Arial" w:cs="Arial" w:eastAsia="Arial" w:hAnsi="Arial"/>
          <w:b w:val="false"/>
          <w:bCs w:val="false"/>
          <w:i w:val="false"/>
          <w:iCs w:val="false"/>
          <w:color w:val="2D2D2D"/>
          <w:sz w:val="22"/>
          <w:szCs w:val="22"/>
        </w:rPr>
        <w:t xml:space="preserve">Sleep is where the body recovers — but for members with somatic tinnitus, poor sleep habits can actively maintain the tension and sympathetic tone that the protocol is working to reduce. This section covers the mechanical and practical foundations. The deeper relationship between tinnitus, hypervigilance, and sleep — and the psychological tools for managing it — is addressed in Phase 4.</w:t>
      </w:r>
    </w:p>
    <w:p>
      <w:pPr>
        <w:spacing w:after="60" w:before="60"/>
      </w:pPr>
      <w:r>
        <w:t xml:space="preserve"/>
      </w:r>
    </w:p>
    <w:p>
      <w:pPr>
        <w:spacing w:after="60" w:before="160"/>
      </w:pPr>
      <w:r>
        <w:rPr>
          <w:rFonts w:ascii="Arial" w:cs="Arial" w:eastAsia="Arial" w:hAnsi="Arial"/>
          <w:b/>
          <w:bCs/>
          <w:color w:val="555555"/>
          <w:sz w:val="22"/>
          <w:szCs w:val="22"/>
        </w:rPr>
        <w:t xml:space="preserve">Cervical alignment</w:t>
      </w:r>
    </w:p>
    <w:p>
      <w:pPr>
        <w:spacing w:after="80" w:before="80"/>
        <w:jc w:val="left"/>
      </w:pPr>
      <w:r>
        <w:rPr>
          <w:rFonts w:ascii="Arial" w:cs="Arial" w:eastAsia="Arial" w:hAnsi="Arial"/>
          <w:b w:val="false"/>
          <w:bCs w:val="false"/>
          <w:i w:val="false"/>
          <w:iCs w:val="false"/>
          <w:color w:val="2D2D2D"/>
          <w:sz w:val="22"/>
          <w:szCs w:val="22"/>
        </w:rPr>
        <w:t xml:space="preserve">Sleep position and pillow height were covered in detail in the cervical and postural habits section. The key points in brief: stomach sleeping is strongly discouraged for cervical-involved members — sustained cervical rotation through the night directly counteracts the protocol work. Side sleeping requires a pillow height that maintains neutral cervical alignment — ear directly above the shoulder. Back sleeping requires lower support. If you have not yet worked through the sleep position entry in the habits section, return to it before continuing.</w:t>
      </w:r>
    </w:p>
    <w:p>
      <w:pPr>
        <w:spacing w:after="60" w:before="60"/>
      </w:pPr>
      <w:r>
        <w:t xml:space="preserve"/>
      </w:r>
    </w:p>
    <w:p>
      <w:pPr>
        <w:spacing w:after="60" w:before="160"/>
      </w:pPr>
      <w:r>
        <w:rPr>
          <w:rFonts w:ascii="Arial" w:cs="Arial" w:eastAsia="Arial" w:hAnsi="Arial"/>
          <w:b/>
          <w:bCs/>
          <w:color w:val="555555"/>
          <w:sz w:val="22"/>
          <w:szCs w:val="22"/>
        </w:rPr>
        <w:t xml:space="preserve">Sleep environment and masking</w:t>
      </w:r>
    </w:p>
    <w:p>
      <w:pPr>
        <w:spacing w:after="80" w:before="80"/>
        <w:jc w:val="left"/>
      </w:pPr>
      <w:r>
        <w:rPr>
          <w:rFonts w:ascii="Arial" w:cs="Arial" w:eastAsia="Arial" w:hAnsi="Arial"/>
          <w:b w:val="false"/>
          <w:bCs w:val="false"/>
          <w:i w:val="false"/>
          <w:iCs w:val="false"/>
          <w:color w:val="2D2D2D"/>
          <w:sz w:val="22"/>
          <w:szCs w:val="22"/>
        </w:rPr>
        <w:t xml:space="preserve">For members whose tinnitus is most intrusive at night — particularly during the quiet of sleep onset — environmental sound can be a practical tool for reducing the contrast between silence and tinnitus perception. This is not a coping strategy or a long-term management approach. It is a practical sleep onset aid for members who need it, used strategically rather than as a permanent fixture.</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Effective options include: brown or white noise — widely available through free apps and streaming platforms — pink noise, which has a softer frequency profile that some people find more tolerable for extended listening, nature sounds such as rain or running water, and fan noise. Experiment with a few to find what works for your specific tinnitus frequency and personal preference. The goal is a background sound level sufficient to reduce the perceptual contrast without being loud enough to disrupt sleep quality itself.</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Volume matters — masking sound should sit below conversational volume. Loud masking sound trades one sleep disruption for another.</w:t>
      </w:r>
    </w:p>
    <w:p>
      <w:pPr>
        <w:spacing w:after="60" w:before="60"/>
      </w:pPr>
      <w:r>
        <w:t xml:space="preserve"/>
      </w:r>
    </w:p>
    <w:p>
      <w:pPr>
        <w:spacing w:after="60" w:before="160"/>
      </w:pPr>
      <w:r>
        <w:rPr>
          <w:rFonts w:ascii="Arial" w:cs="Arial" w:eastAsia="Arial" w:hAnsi="Arial"/>
          <w:b/>
          <w:bCs/>
          <w:color w:val="555555"/>
          <w:sz w:val="22"/>
          <w:szCs w:val="22"/>
        </w:rPr>
        <w:t xml:space="preserve">Sleep consistency</w:t>
      </w:r>
    </w:p>
    <w:p>
      <w:pPr>
        <w:spacing w:after="80" w:before="80"/>
        <w:jc w:val="left"/>
      </w:pPr>
      <w:r>
        <w:rPr>
          <w:rFonts w:ascii="Arial" w:cs="Arial" w:eastAsia="Arial" w:hAnsi="Arial"/>
          <w:b w:val="false"/>
          <w:bCs w:val="false"/>
          <w:i w:val="false"/>
          <w:iCs w:val="false"/>
          <w:color w:val="2D2D2D"/>
          <w:sz w:val="22"/>
          <w:szCs w:val="22"/>
        </w:rPr>
        <w:t xml:space="preserve">Irregular sleep and wake times elevate baseline sympathetic tone — the background nervous system activation that amplifies tinnitus perception on top of whatever the primary driver is producing. The mechanism is straightforward: the body's circadian regulation affects cortisol and autonomic nervous system patterns throughout the day. Irregular timing disrupts those patterns and keeps the system in a state of mild chronic activation.</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The adjustment is simple in principle: consistent sleep and wake times seven days a week, including weekends. Weekend sleep-ins feel restorative but disrupt circadian timing enough to affect the following week's baseline sympathetic tone. Consistency matters more than total hours within a reasonable range.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Mechanism</w:t>
            </w:r>
          </w:p>
          <w:p>
            <w:pPr>
              <w:spacing w:after="0" w:before="0"/>
            </w:pPr>
            <w:r>
              <w:rPr>
                <w:rFonts w:ascii="Arial" w:cs="Arial" w:eastAsia="Arial" w:hAnsi="Arial"/>
                <w:i/>
                <w:iCs/>
                <w:color w:val="555555"/>
                <w:sz w:val="20"/>
                <w:szCs w:val="20"/>
              </w:rPr>
              <w:t xml:space="preserve">Cervical misalignment during sleep rebuilds suboccipital and upper cervical tension through the night — directly counteracting the Phase 3 protocol. Environmental sound reduces the perceptual contrast that drives hypervigilant attention to tinnitus at sleep onset, breaking the attention-amplification cycle before it establishes. Sleep timing consistency maintains circadian regulation of the autonomic nervous system, reducing the baseline sympathetic tone that amplifies tinnitus perception above the primary driver signal.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0" w:before="0"/>
              <w:jc w:val="center"/>
            </w:pPr>
            <w:r>
              <w:rPr>
                <w:rFonts w:ascii="Arial" w:cs="Arial" w:eastAsia="Arial" w:hAnsi="Arial"/>
                <w:i/>
                <w:iCs/>
                <w:color w:val="555555"/>
                <w:sz w:val="20"/>
                <w:szCs w:val="20"/>
              </w:rPr>
              <w:t xml:space="preserve">I understand these foundations and will address what is relevant for me  </w:t>
            </w:r>
            <w:r>
              <w:rPr>
                <w:rFonts w:ascii="Arial" w:cs="Arial" w:eastAsia="Arial" w:hAnsi="Arial"/>
                <w:b/>
                <w:bCs/>
                <w:color w:val="0A7C8C"/>
                <w:sz w:val="20"/>
                <w:szCs w:val="20"/>
              </w:rPr>
              <w:t xml:space="preserve">[ Acknowledge ]</w:t>
            </w:r>
          </w:p>
        </w:tc>
      </w:tr>
    </w:tbl>
    <w:p>
      <w:pPr>
        <w:spacing w:after="60" w:before="60"/>
      </w:pPr>
      <w:r>
        <w:t xml:space="preserve"/>
      </w:r>
    </w:p>
    <w:p>
      <w:pPr>
        <w:pBdr>
          <w:bottom w:val="single" w:color="0A7C8C" w:sz="4" w:space="1"/>
        </w:pBdr>
        <w:spacing w:after="200" w:before="200"/>
      </w:pPr>
      <w:r>
        <w:t xml:space="preserve"/>
      </w:r>
    </w:p>
    <w:p>
      <w:pPr>
        <w:pStyle w:val="Heading2"/>
        <w:spacing w:after="120" w:before="240"/>
      </w:pPr>
      <w:r>
        <w:rPr>
          <w:rFonts w:ascii="Arial" w:cs="Arial" w:eastAsia="Arial" w:hAnsi="Arial"/>
          <w:b/>
          <w:bCs/>
          <w:color w:val="2D2D2D"/>
          <w:sz w:val="28"/>
          <w:szCs w:val="28"/>
        </w:rPr>
        <w:t xml:space="preserve">C.8 — Maintaining Factor Confirmation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8C" w:sz="1"/>
              <w:left w:val="single" w:color="0A7C8C" w:sz="1"/>
              <w:bottom w:val="single" w:color="0A7C8C" w:sz="1"/>
              <w:right w:val="single" w:color="0A7C8C" w:sz="1"/>
            </w:tcBorders>
            <w:shd w:fill="E8F5F7" w:val="clear"/>
            <w:tcMar>
              <w:top w:type="dxa" w:w="120"/>
              <w:left w:type="dxa" w:w="180"/>
              <w:bottom w:type="dxa" w:w="120"/>
              <w:right w:type="dxa" w:w="180"/>
            </w:tcMar>
          </w:tcPr>
          <w:p>
            <w:pPr>
              <w:spacing w:after="0" w:before="0"/>
              <w:jc w:val="center"/>
            </w:pPr>
            <w:r>
              <w:rPr>
                <w:rFonts w:ascii="Arial" w:cs="Arial" w:eastAsia="Arial" w:hAnsi="Arial"/>
                <w:b/>
                <w:bCs/>
                <w:color w:val="0A7C8C"/>
                <w:sz w:val="20"/>
                <w:szCs w:val="20"/>
              </w:rPr>
              <w:t xml:space="preserve">Daily Focus — </w:t>
            </w:r>
            <w:r>
              <w:rPr>
                <w:rFonts w:ascii="Arial" w:cs="Arial" w:eastAsia="Arial" w:hAnsi="Arial"/>
                <w:i/>
                <w:iCs/>
                <w:color w:val="555555"/>
                <w:sz w:val="20"/>
                <w:szCs w:val="20"/>
              </w:rPr>
              <w:t xml:space="preserve">Confirm your foundations are genuine before the intervention begins</w:t>
            </w:r>
          </w:p>
        </w:tc>
      </w:tr>
    </w:tbl>
    <w:p>
      <w:pPr>
        <w:spacing w:after="60" w:before="60"/>
      </w:pPr>
      <w:r>
        <w:t xml:space="preserve"/>
      </w:r>
    </w:p>
    <w:p>
      <w:pPr>
        <w:spacing w:after="80" w:before="200"/>
      </w:pPr>
      <w:r>
        <w:rPr>
          <w:rFonts w:ascii="Arial" w:cs="Arial" w:eastAsia="Arial" w:hAnsi="Arial"/>
          <w:b/>
          <w:bCs/>
          <w:color w:val="2D2D2D"/>
          <w:sz w:val="24"/>
          <w:szCs w:val="24"/>
        </w:rPr>
        <w:t xml:space="preserve">Before You Begin Phase 3</w:t>
      </w:r>
    </w:p>
    <w:p>
      <w:pPr>
        <w:spacing w:after="80" w:before="80"/>
        <w:jc w:val="left"/>
      </w:pPr>
      <w:r>
        <w:rPr>
          <w:rFonts w:ascii="Arial" w:cs="Arial" w:eastAsia="Arial" w:hAnsi="Arial"/>
          <w:b w:val="false"/>
          <w:bCs w:val="false"/>
          <w:i w:val="false"/>
          <w:iCs w:val="false"/>
          <w:color w:val="2D2D2D"/>
          <w:sz w:val="22"/>
          <w:szCs w:val="22"/>
        </w:rPr>
        <w:t xml:space="preserve">Phase 3 is the primary intervention — the targeted protocol work that directly addresses your driver pathway. The habits, diet, sleep, and lifestyle foundations covered in Phase 2 exist because protocol work operates on top of whatever daily patterns are already in place. Addressing the maintaining factors first means Phase 3 is working in a cleared environment. Skipping that step and proceeding anyway means the protocol is working against the same patterns it is trying to correct.</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This checklist is not a formality. Phase 3 unlocks when you confirm it — but the value of that confirmation depends entirely on whether it is genuine. There is no minimum time requirement and no external check. The honest answer is the useful one.</w:t>
      </w:r>
    </w:p>
    <w:p>
      <w:pPr>
        <w:spacing w:after="60" w:before="60"/>
      </w:pPr>
      <w:r>
        <w:t xml:space="preserve"/>
      </w:r>
    </w:p>
    <w:p>
      <w:pPr>
        <w:spacing w:after="80" w:before="80"/>
        <w:jc w:val="left"/>
      </w:pPr>
      <w:r>
        <w:rPr>
          <w:rFonts w:ascii="Arial" w:cs="Arial" w:eastAsia="Arial" w:hAnsi="Arial"/>
          <w:b w:val="false"/>
          <w:bCs w:val="false"/>
          <w:i w:val="false"/>
          <w:iCs w:val="false"/>
          <w:color w:val="2D2D2D"/>
          <w:sz w:val="22"/>
          <w:szCs w:val="22"/>
        </w:rPr>
        <w:t xml:space="preserve">Before confirming, work through the following honestly:</w:t>
      </w:r>
    </w:p>
    <w:p>
      <w:pPr>
        <w:spacing w:after="60" w:before="60"/>
      </w:pPr>
      <w:r>
        <w:t xml:space="preserve"/>
      </w:r>
    </w:p>
    <w:p>
      <w:pPr>
        <w:pStyle w:val="ListParagraph"/>
        <w:numPr>
          <w:ilvl w:val="0"/>
          <w:numId w:val="2"/>
        </w:numPr>
        <w:spacing w:after="60" w:before="60"/>
      </w:pPr>
      <w:r>
        <w:rPr>
          <w:rFonts w:ascii="Arial" w:cs="Arial" w:eastAsia="Arial" w:hAnsi="Arial"/>
          <w:color w:val="2D2D2D"/>
          <w:sz w:val="22"/>
          <w:szCs w:val="22"/>
        </w:rPr>
        <w:t xml:space="preserve">The jaw habits that apply to me are genuinely being addressed — resting jaw position, clenching awareness, and any other flagged patterns are actively being interrupted rather than just understood</w:t>
      </w:r>
    </w:p>
    <w:p>
      <w:pPr>
        <w:pStyle w:val="ListParagraph"/>
        <w:numPr>
          <w:ilvl w:val="0"/>
          <w:numId w:val="2"/>
        </w:numPr>
        <w:spacing w:after="60" w:before="60"/>
      </w:pPr>
      <w:r>
        <w:rPr>
          <w:rFonts w:ascii="Arial" w:cs="Arial" w:eastAsia="Arial" w:hAnsi="Arial"/>
          <w:color w:val="2D2D2D"/>
          <w:sz w:val="22"/>
          <w:szCs w:val="22"/>
        </w:rPr>
        <w:t xml:space="preserve">The cervical and postural habits that apply to me are genuinely being addressed — sleep position, screen height, movement breaks, and any other flagged patterns are in place or actively being changed</w:t>
      </w:r>
    </w:p>
    <w:p>
      <w:pPr>
        <w:pStyle w:val="ListParagraph"/>
        <w:numPr>
          <w:ilvl w:val="0"/>
          <w:numId w:val="2"/>
        </w:numPr>
        <w:spacing w:after="60" w:before="60"/>
      </w:pPr>
      <w:r>
        <w:rPr>
          <w:rFonts w:ascii="Arial" w:cs="Arial" w:eastAsia="Arial" w:hAnsi="Arial"/>
          <w:color w:val="2D2D2D"/>
          <w:sz w:val="22"/>
          <w:szCs w:val="22"/>
        </w:rPr>
        <w:t xml:space="preserve">The systemic habits that apply to me have been considered and I am making the adjustments that are realistic for my situation</w:t>
      </w:r>
    </w:p>
    <w:p>
      <w:pPr>
        <w:pStyle w:val="ListParagraph"/>
        <w:numPr>
          <w:ilvl w:val="0"/>
          <w:numId w:val="2"/>
        </w:numPr>
        <w:spacing w:after="60" w:before="60"/>
      </w:pPr>
      <w:r>
        <w:rPr>
          <w:rFonts w:ascii="Arial" w:cs="Arial" w:eastAsia="Arial" w:hAnsi="Arial"/>
          <w:color w:val="2D2D2D"/>
          <w:sz w:val="22"/>
          <w:szCs w:val="22"/>
        </w:rPr>
        <w:t xml:space="preserve">I have read the diet and supplement foundations and integrated what is practical</w:t>
      </w:r>
    </w:p>
    <w:p>
      <w:pPr>
        <w:pStyle w:val="ListParagraph"/>
        <w:numPr>
          <w:ilvl w:val="0"/>
          <w:numId w:val="2"/>
        </w:numPr>
        <w:spacing w:after="60" w:before="60"/>
      </w:pPr>
      <w:r>
        <w:rPr>
          <w:rFonts w:ascii="Arial" w:cs="Arial" w:eastAsia="Arial" w:hAnsi="Arial"/>
          <w:color w:val="2D2D2D"/>
          <w:sz w:val="22"/>
          <w:szCs w:val="22"/>
        </w:rPr>
        <w:t xml:space="preserve">My sleep foundations are in place</w:t>
      </w:r>
    </w:p>
    <w:p>
      <w:pPr>
        <w:spacing w:after="60" w:before="60"/>
      </w:pPr>
      <w:r>
        <w:t xml:space="preserve"/>
      </w:r>
    </w:p>
    <w:p>
      <w:pPr>
        <w:spacing w:after="80" w:before="80"/>
        <w:jc w:val="left"/>
      </w:pPr>
      <w:r>
        <w:rPr>
          <w:rFonts w:ascii="Arial" w:cs="Arial" w:eastAsia="Arial" w:hAnsi="Arial"/>
          <w:b w:val="false"/>
          <w:bCs w:val="false"/>
          <w:i/>
          <w:iCs/>
          <w:color w:val="2D2D2D"/>
          <w:sz w:val="22"/>
          <w:szCs w:val="22"/>
        </w:rPr>
        <w:t xml:space="preserve">If any of these are not yet genuinely in place — return to the relevant section and address them before confirming. Phase 3 will be more effective for it.</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C8C" w:sz="1"/>
              <w:left w:val="single" w:color="0A7C8C" w:sz="1"/>
              <w:bottom w:val="single" w:color="0A7C8C" w:sz="1"/>
              <w:right w:val="single" w:color="0A7C8C" w:sz="1"/>
            </w:tcBorders>
            <w:shd w:fill="E8F5F7" w:val="clear"/>
            <w:tcMar>
              <w:top w:type="dxa" w:w="160"/>
              <w:left w:type="dxa" w:w="200"/>
              <w:bottom w:type="dxa" w:w="160"/>
              <w:right w:type="dxa" w:w="200"/>
            </w:tcMar>
          </w:tcPr>
          <w:p>
            <w:pPr>
              <w:spacing w:after="0" w:before="0"/>
              <w:jc w:val="center"/>
            </w:pPr>
            <w:r>
              <w:rPr>
                <w:rFonts w:ascii="Arial" w:cs="Arial" w:eastAsia="Arial" w:hAnsi="Arial"/>
                <w:b/>
                <w:bCs/>
                <w:color w:val="0A7C8C"/>
                <w:sz w:val="22"/>
                <w:szCs w:val="22"/>
              </w:rPr>
              <w:t xml:space="preserve">[ I have addressed the maintaining factors relevant to my profile and I am ready to begin Phase 3 ]</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System Note</w:t>
            </w:r>
          </w:p>
          <w:p>
            <w:pPr>
              <w:spacing w:after="0" w:before="0"/>
            </w:pPr>
            <w:r>
              <w:rPr>
                <w:rFonts w:ascii="Arial" w:cs="Arial" w:eastAsia="Arial" w:hAnsi="Arial"/>
                <w:i/>
                <w:iCs/>
                <w:color w:val="555555"/>
                <w:sz w:val="20"/>
                <w:szCs w:val="20"/>
              </w:rPr>
              <w:t xml:space="preserve">Single confirmation button. On submission: phase2_completed_at timestamp written to framework_progress. phase_3_unlocked set to TRUE. Transition screen displayed before Phase 3 content loads. Button is available from the moment the member reaches this screen — no completion check on individual habit acknowledges required. The confirmation statement is the gate, not the individual acknowledge buttons. Individual acknowledge buttons track engagement only — stored as phase2_habits_acknowledged JSONB field in framework_progress, not used for access control.</w:t>
            </w:r>
          </w:p>
        </w:tc>
      </w:tr>
    </w:tbl>
    <w:p>
      <w:pPr>
        <w:spacing w:after="60" w:before="60"/>
      </w:pPr>
      <w:r>
        <w:t xml:space="preserve"/>
      </w:r>
    </w:p>
    <w:p>
      <w:pPr>
        <w:pBdr>
          <w:bottom w:val="single" w:color="0A7C8C" w:sz="4" w:space="1"/>
        </w:pBdr>
        <w:spacing w:after="200" w:before="200"/>
      </w:pPr>
      <w:r>
        <w:t xml:space="preserve"/>
      </w:r>
    </w:p>
    <w:p>
      <w:pPr>
        <w:pStyle w:val="Heading2"/>
        <w:spacing w:after="120" w:before="240"/>
      </w:pPr>
      <w:r>
        <w:rPr>
          <w:rFonts w:ascii="Arial" w:cs="Arial" w:eastAsia="Arial" w:hAnsi="Arial"/>
          <w:b/>
          <w:bCs/>
          <w:color w:val="2D2D2D"/>
          <w:sz w:val="28"/>
          <w:szCs w:val="28"/>
        </w:rPr>
        <w:t xml:space="preserve">C.9 — Phase 2 → Phase 3 Transition Screen</w:t>
      </w:r>
    </w:p>
    <w:p>
      <w:pPr>
        <w:spacing w:after="60" w:before="60"/>
      </w:pPr>
      <w:r>
        <w:t xml:space="preserve"/>
      </w:r>
    </w:p>
    <w:p>
      <w:pPr>
        <w:spacing w:after="80" w:before="80"/>
        <w:jc w:val="left"/>
      </w:pPr>
      <w:r>
        <w:rPr>
          <w:rFonts w:ascii="Arial" w:cs="Arial" w:eastAsia="Arial" w:hAnsi="Arial"/>
          <w:b w:val="false"/>
          <w:bCs w:val="false"/>
          <w:i/>
          <w:iCs/>
          <w:color w:val="555555"/>
          <w:sz w:val="22"/>
          <w:szCs w:val="22"/>
        </w:rPr>
        <w:t xml:space="preserve">Displayed once on first Phase 3 entry only — subsequent logins go directly to Phase 3 current session.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200"/>
              <w:left w:type="dxa" w:w="240"/>
              <w:bottom w:type="dxa" w:w="200"/>
              <w:right w:type="dxa" w:w="240"/>
            </w:tcMar>
          </w:tcPr>
          <w:p>
            <w:pPr>
              <w:spacing w:after="120" w:before="0"/>
              <w:jc w:val="center"/>
            </w:pPr>
            <w:r>
              <w:rPr>
                <w:rFonts w:ascii="Arial" w:cs="Arial" w:eastAsia="Arial" w:hAnsi="Arial"/>
                <w:b/>
                <w:bCs/>
                <w:color w:val="0A7C8C"/>
                <w:sz w:val="28"/>
                <w:szCs w:val="28"/>
              </w:rPr>
              <w:t xml:space="preserve">Your foundations are in place.</w:t>
            </w:r>
          </w:p>
          <w:p>
            <w:pPr>
              <w:spacing w:after="120" w:before="0"/>
              <w:jc w:val="center"/>
            </w:pPr>
            <w:r>
              <w:rPr>
                <w:rFonts w:ascii="Arial" w:cs="Arial" w:eastAsia="Arial" w:hAnsi="Arial"/>
                <w:color w:val="2D2D2D"/>
                <w:sz w:val="22"/>
                <w:szCs w:val="22"/>
              </w:rPr>
              <w:t xml:space="preserve">You've worked through the habits, diet, and sleep foundations that clear the path for effective protocol work. Phase 3 begins now.</w:t>
            </w:r>
          </w:p>
          <w:p>
            <w:pPr>
              <w:spacing w:after="160" w:before="0"/>
              <w:jc w:val="center"/>
            </w:pPr>
            <w:r>
              <w:rPr>
                <w:rFonts w:ascii="Arial" w:cs="Arial" w:eastAsia="Arial" w:hAnsi="Arial"/>
                <w:color w:val="555555"/>
                <w:sz w:val="22"/>
                <w:szCs w:val="22"/>
              </w:rPr>
              <w:t xml:space="preserve">What follows is the targeted intervention — the specific release and retraining work aimed directly at your [jaw / cervical / jaw and cervical] driver pathway. This is where the primary work happens.</w:t>
            </w:r>
          </w:p>
          <w:p>
            <w:pPr>
              <w:spacing w:after="0" w:before="0"/>
              <w:jc w:val="center"/>
            </w:pPr>
            <w:r>
              <w:rPr>
                <w:rFonts w:ascii="Arial" w:cs="Arial" w:eastAsia="Arial" w:hAnsi="Arial"/>
                <w:b/>
                <w:bCs/>
                <w:color w:val="0A7C8C"/>
                <w:sz w:val="24"/>
                <w:szCs w:val="24"/>
              </w:rPr>
              <w:t xml:space="preserve">[ Begin Phase 3 ]</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80" w:before="0"/>
            </w:pPr>
            <w:r>
              <w:rPr>
                <w:rFonts w:ascii="Arial" w:cs="Arial" w:eastAsia="Arial" w:hAnsi="Arial"/>
                <w:b/>
                <w:bCs/>
                <w:color w:val="0A7C8C"/>
                <w:sz w:val="20"/>
                <w:szCs w:val="20"/>
              </w:rPr>
              <w:t xml:space="preserve">System Note</w:t>
            </w:r>
          </w:p>
          <w:p>
            <w:pPr>
              <w:spacing w:after="0" w:before="0"/>
            </w:pPr>
            <w:r>
              <w:rPr>
                <w:rFonts w:ascii="Arial" w:cs="Arial" w:eastAsia="Arial" w:hAnsi="Arial"/>
                <w:i/>
                <w:iCs/>
                <w:color w:val="555555"/>
                <w:sz w:val="20"/>
                <w:szCs w:val="20"/>
              </w:rPr>
              <w:t xml:space="preserve">Profile callback in transition screen pulls profile_type from framework_progress to complete the [jaw / cervical / jaw and cervical] placeholder. Screen displays once on first Phase 3 entry only — subsequent logins go directly to Phase 3 current session. CTA navigates to Phase 3 opening section.</w:t>
            </w:r>
          </w:p>
        </w:tc>
      </w:tr>
    </w:tbl>
    <w:p>
      <w:pPr>
        <w:spacing w:after="60" w:before="60"/>
      </w:pPr>
      <w:r>
        <w:t xml:space="preserve"/>
      </w:r>
    </w:p>
    <w:p>
      <w:pPr>
        <w:pBdr>
          <w:bottom w:val="single" w:color="0A7C8C" w:sz="4" w:space="1"/>
        </w:pBdr>
        <w:spacing w:after="200" w:before="200"/>
      </w:pPr>
      <w:r>
        <w:t xml:space="preserve"/>
      </w:r>
    </w:p>
    <w:p>
      <w:pPr>
        <w:pStyle w:val="Heading2"/>
        <w:spacing w:after="120" w:before="240"/>
      </w:pPr>
      <w:r>
        <w:rPr>
          <w:rFonts w:ascii="Arial" w:cs="Arial" w:eastAsia="Arial" w:hAnsi="Arial"/>
          <w:b/>
          <w:bCs/>
          <w:color w:val="2D2D2D"/>
          <w:sz w:val="28"/>
          <w:szCs w:val="28"/>
        </w:rPr>
        <w:t xml:space="preserve">C.10 — Daily Focus Lines Reference — Phase 2</w:t>
      </w:r>
    </w:p>
    <w:p>
      <w:pPr>
        <w:spacing w:after="60" w:before="60"/>
      </w:pPr>
      <w:r>
        <w:t xml:space="preserve"/>
      </w:r>
    </w:p>
    <w:p>
      <w:pPr>
        <w:spacing w:after="80" w:before="80"/>
        <w:jc w:val="left"/>
      </w:pPr>
      <w:r>
        <w:rPr>
          <w:rFonts w:ascii="Arial" w:cs="Arial" w:eastAsia="Arial" w:hAnsi="Arial"/>
          <w:b w:val="false"/>
          <w:bCs w:val="false"/>
          <w:i/>
          <w:iCs/>
          <w:color w:val="555555"/>
          <w:sz w:val="22"/>
          <w:szCs w:val="22"/>
        </w:rPr>
        <w:t xml:space="preserve">One focus line per Phase 2 section. Displayed on the dashboard throughout the relevant section. Updates as member progresses through Phase 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A7C8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760"/>
            <w:tcBorders>
              <w:top w:val="single" w:color="CCCCCC" w:sz="1"/>
              <w:left w:val="single" w:color="CCCCCC" w:sz="1"/>
              <w:bottom w:val="single" w:color="CCCCCC" w:sz="1"/>
              <w:right w:val="single" w:color="CCCCCC" w:sz="1"/>
            </w:tcBorders>
            <w:shd w:fill="0A7C8C" w:val="clear"/>
            <w:tcMar>
              <w:top w:type="dxa" w:w="80"/>
              <w:left w:type="dxa" w:w="120"/>
              <w:bottom w:type="dxa" w:w="80"/>
              <w:right w:type="dxa" w:w="120"/>
            </w:tcMar>
          </w:tcPr>
          <w:p>
            <w:r>
              <w:rPr>
                <w:rFonts w:ascii="Arial" w:cs="Arial" w:eastAsia="Arial" w:hAnsi="Arial"/>
                <w:b/>
                <w:bCs/>
                <w:color w:val="FFFFFF"/>
                <w:sz w:val="20"/>
                <w:szCs w:val="20"/>
              </w:rPr>
              <w:t xml:space="preserve">Daily Focus Line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2 Opening / Start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0"/>
                <w:szCs w:val="20"/>
              </w:rPr>
              <w:t xml:space="preserve">Clear the path before the protocol begins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Habits Audit (all three categories)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Identify the daily patterns working against your progress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Diet Foundations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0"/>
                <w:szCs w:val="20"/>
              </w:rPr>
              <w:t xml:space="preserve">Reduce the inflammatory load your protocol is working within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Supplements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Consider the supporting factors worth adding alongside the protocol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Sleep Foundations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0"/>
                <w:szCs w:val="20"/>
              </w:rPr>
              <w:t xml:space="preserve">Address the overnight patterns that rebuild what the protocol releases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Confirmation Checklist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Confirm your foundations are genuine before the intervention begins</w:t>
            </w:r>
          </w:p>
        </w:tc>
      </w:tr>
    </w:tbl>
    <w:p>
      <w:pPr>
        <w:spacing w:after="60" w:before="60"/>
      </w:pPr>
      <w:r>
        <w:t xml:space="preserve"/>
      </w:r>
    </w:p>
    <w:p>
      <w:pPr>
        <w:pBdr>
          <w:bottom w:val="single" w:color="0A7C8C" w:sz="4" w:space="1"/>
        </w:pBdr>
        <w:spacing w:after="200" w:before="200"/>
      </w:pPr>
      <w:r>
        <w:t xml:space="preserve"/>
      </w:r>
    </w:p>
    <w:p>
      <w:pPr>
        <w:spacing w:after="60" w:before="60"/>
      </w:pPr>
      <w:r>
        <w:t xml:space="preserve"/>
      </w:r>
    </w:p>
    <w:p>
      <w:pPr>
        <w:spacing w:after="80" w:before="80"/>
        <w:jc w:val="center"/>
      </w:pPr>
      <w:r>
        <w:rPr>
          <w:rFonts w:ascii="Arial" w:cs="Arial" w:eastAsia="Arial" w:hAnsi="Arial"/>
          <w:b w:val="false"/>
          <w:bCs w:val="false"/>
          <w:i/>
          <w:iCs/>
          <w:color w:val="555555"/>
          <w:sz w:val="22"/>
          <w:szCs w:val="22"/>
        </w:rPr>
        <w:t xml:space="preserve">Built to help people. Designed to last.</w:t>
      </w:r>
    </w:p>
    <w:p>
      <w:pPr>
        <w:spacing w:after="60" w:before="60"/>
      </w:pPr>
      <w:r>
        <w:t xml:space="preserve"/>
      </w:r>
    </w:p>
    <w:p>
      <w:pPr>
        <w:spacing w:after="80" w:before="80"/>
        <w:jc w:val="center"/>
      </w:pPr>
      <w:r>
        <w:rPr>
          <w:rFonts w:ascii="Arial" w:cs="Arial" w:eastAsia="Arial" w:hAnsi="Arial"/>
          <w:b w:val="false"/>
          <w:bCs w:val="false"/>
          <w:i w:val="false"/>
          <w:iCs w:val="false"/>
          <w:color w:val="555555"/>
          <w:sz w:val="18"/>
          <w:szCs w:val="18"/>
        </w:rPr>
        <w:t xml:space="preserve">THE SOMATIC TINNITUS PROJECT — Framework Session Content — Document 8 (Phase 2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7C8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D2D2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2026-04-13T15:25:08.537Z</dcterms:created>
  <dcterms:modified xsi:type="dcterms:W3CDTF">2026-04-13T15:25:08.538Z</dcterms:modified>
</cp:coreProperties>
</file>

<file path=docProps/custom.xml><?xml version="1.0" encoding="utf-8"?>
<Properties xmlns="http://schemas.openxmlformats.org/officeDocument/2006/custom-properties" xmlns:vt="http://schemas.openxmlformats.org/officeDocument/2006/docPropsVTypes"/>
</file>