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6385" w14:textId="77777777" w:rsidR="000F039A" w:rsidRPr="007658D6" w:rsidRDefault="000F039A" w:rsidP="00E441C9">
      <w:pPr>
        <w:pStyle w:val="Title"/>
        <w:jc w:val="center"/>
        <w:rPr>
          <w:rFonts w:ascii="Calibri" w:hAnsi="Calibri" w:cs="Calibri"/>
          <w:b/>
          <w:bCs/>
          <w:sz w:val="24"/>
          <w:szCs w:val="24"/>
        </w:rPr>
      </w:pPr>
      <w:r w:rsidRPr="007658D6">
        <w:rPr>
          <w:rFonts w:ascii="Calibri" w:hAnsi="Calibri" w:cs="Calibri"/>
          <w:b/>
          <w:bCs/>
          <w:sz w:val="24"/>
          <w:szCs w:val="24"/>
        </w:rPr>
        <w:t>Prediabetes Clinical Trial</w:t>
      </w:r>
    </w:p>
    <w:p w14:paraId="0A2CB8C1" w14:textId="7313C1DF" w:rsidR="000F039A" w:rsidRPr="007658D6" w:rsidRDefault="000F039A" w:rsidP="000F039A">
      <w:pPr>
        <w:rPr>
          <w:rFonts w:ascii="Calibri" w:hAnsi="Calibri" w:cs="Calibri"/>
        </w:rPr>
      </w:pPr>
      <w:r w:rsidRPr="007658D6">
        <w:rPr>
          <w:rFonts w:ascii="Calibri" w:hAnsi="Calibri" w:cs="Calibri"/>
        </w:rPr>
        <w:t>This report evaluates the effectiveness of three treatments for</w:t>
      </w:r>
      <w:r w:rsidR="00E441C9" w:rsidRPr="007658D6">
        <w:rPr>
          <w:rFonts w:ascii="Calibri" w:hAnsi="Calibri" w:cs="Calibri"/>
        </w:rPr>
        <w:t xml:space="preserve"> people with</w:t>
      </w:r>
      <w:r w:rsidRPr="007658D6">
        <w:rPr>
          <w:rFonts w:ascii="Calibri" w:hAnsi="Calibri" w:cs="Calibri"/>
        </w:rPr>
        <w:t xml:space="preserve"> prediabet</w:t>
      </w:r>
      <w:r w:rsidR="00AC4D67" w:rsidRPr="007658D6">
        <w:rPr>
          <w:rFonts w:ascii="Calibri" w:hAnsi="Calibri" w:cs="Calibri"/>
        </w:rPr>
        <w:t>e</w:t>
      </w:r>
      <w:r w:rsidRPr="007658D6">
        <w:rPr>
          <w:rFonts w:ascii="Calibri" w:hAnsi="Calibri" w:cs="Calibri"/>
        </w:rPr>
        <w:t>s to reduce progression to full diabetes: metformin (Met), rosiglitazone (Rosi), and lifestyle adjustments involving diet and exercise. The analysis is based on a randomized clinical trial with 699 participants, where success means avoiding progression to full diabetes. First, we calculated the average success rate for each treatment. Then, we used 10,000 bootstrap resamples within each treatment group and created KDE and ECDF plots to examine the distributions of success rates and the differences between Met vs Rosi, Met vs Lifestyle, and Rosi vs Lifestyle. Finally, we calculated 90%, 95%, and 99% bootstrap confidence intervals to assess whether the differences between treatments were statistically significant.</w:t>
      </w:r>
    </w:p>
    <w:p w14:paraId="03975F85" w14:textId="77777777" w:rsidR="000F039A" w:rsidRPr="007658D6" w:rsidRDefault="000F039A" w:rsidP="000F039A">
      <w:pPr>
        <w:rPr>
          <w:rFonts w:ascii="Calibri" w:hAnsi="Calibri" w:cs="Calibri"/>
        </w:rPr>
      </w:pPr>
      <w:r w:rsidRPr="007658D6">
        <w:rPr>
          <w:rFonts w:ascii="Calibri" w:hAnsi="Calibri" w:cs="Calibri"/>
        </w:rPr>
        <w:t>Table 1. Treatment Outcomes and Success Rates</w:t>
      </w:r>
    </w:p>
    <w:tbl>
      <w:tblPr>
        <w:tblW w:w="9350"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1223"/>
        <w:gridCol w:w="941"/>
        <w:gridCol w:w="1998"/>
        <w:gridCol w:w="2049"/>
        <w:gridCol w:w="1723"/>
      </w:tblGrid>
      <w:tr w:rsidR="00E441C9" w:rsidRPr="007658D6" w14:paraId="37ABB37F" w14:textId="77777777" w:rsidTr="00E441C9">
        <w:trPr>
          <w:tblCellSpacing w:w="15" w:type="dxa"/>
        </w:trPr>
        <w:tc>
          <w:tcPr>
            <w:tcW w:w="1371" w:type="dxa"/>
            <w:tcBorders>
              <w:top w:val="single" w:sz="4" w:space="0" w:color="auto"/>
              <w:left w:val="single" w:sz="4" w:space="0" w:color="auto"/>
              <w:bottom w:val="single" w:sz="4" w:space="0" w:color="auto"/>
              <w:right w:val="single" w:sz="4" w:space="0" w:color="auto"/>
            </w:tcBorders>
            <w:vAlign w:val="center"/>
            <w:hideMark/>
          </w:tcPr>
          <w:p w14:paraId="613816EE" w14:textId="77777777" w:rsidR="00E441C9" w:rsidRPr="007658D6" w:rsidRDefault="00E441C9" w:rsidP="00E441C9">
            <w:pPr>
              <w:jc w:val="center"/>
              <w:rPr>
                <w:rFonts w:ascii="Calibri" w:hAnsi="Calibri" w:cs="Calibri"/>
                <w:b/>
                <w:bCs/>
              </w:rPr>
            </w:pPr>
            <w:r w:rsidRPr="007658D6">
              <w:rPr>
                <w:rFonts w:ascii="Calibri" w:hAnsi="Calibri" w:cs="Calibri"/>
                <w:b/>
                <w:bCs/>
              </w:rPr>
              <w:t>Treatment</w:t>
            </w:r>
          </w:p>
        </w:tc>
        <w:tc>
          <w:tcPr>
            <w:tcW w:w="1193" w:type="dxa"/>
            <w:tcBorders>
              <w:top w:val="single" w:sz="4" w:space="0" w:color="auto"/>
              <w:bottom w:val="single" w:sz="4" w:space="0" w:color="auto"/>
            </w:tcBorders>
            <w:vAlign w:val="center"/>
            <w:hideMark/>
          </w:tcPr>
          <w:p w14:paraId="57A5C97D" w14:textId="77777777" w:rsidR="00E441C9" w:rsidRPr="007658D6" w:rsidRDefault="00E441C9" w:rsidP="00E441C9">
            <w:pPr>
              <w:jc w:val="center"/>
              <w:rPr>
                <w:rFonts w:ascii="Calibri" w:hAnsi="Calibri" w:cs="Calibri"/>
                <w:b/>
                <w:bCs/>
              </w:rPr>
            </w:pPr>
            <w:r w:rsidRPr="007658D6">
              <w:rPr>
                <w:rFonts w:ascii="Calibri" w:hAnsi="Calibri" w:cs="Calibri"/>
                <w:b/>
                <w:bCs/>
              </w:rPr>
              <w:t>Successes</w:t>
            </w:r>
          </w:p>
        </w:tc>
        <w:tc>
          <w:tcPr>
            <w:tcW w:w="911" w:type="dxa"/>
            <w:tcBorders>
              <w:top w:val="single" w:sz="4" w:space="0" w:color="auto"/>
              <w:left w:val="single" w:sz="4" w:space="0" w:color="auto"/>
              <w:bottom w:val="single" w:sz="4" w:space="0" w:color="auto"/>
            </w:tcBorders>
            <w:vAlign w:val="center"/>
            <w:hideMark/>
          </w:tcPr>
          <w:p w14:paraId="0E2F960E" w14:textId="77777777" w:rsidR="00E441C9" w:rsidRPr="007658D6" w:rsidRDefault="00E441C9" w:rsidP="00E441C9">
            <w:pPr>
              <w:jc w:val="center"/>
              <w:rPr>
                <w:rFonts w:ascii="Calibri" w:hAnsi="Calibri" w:cs="Calibri"/>
                <w:b/>
                <w:bCs/>
              </w:rPr>
            </w:pPr>
            <w:r w:rsidRPr="007658D6">
              <w:rPr>
                <w:rFonts w:ascii="Calibri" w:hAnsi="Calibri" w:cs="Calibri"/>
                <w:b/>
                <w:bCs/>
              </w:rPr>
              <w:t>Failures</w:t>
            </w:r>
          </w:p>
        </w:tc>
        <w:tc>
          <w:tcPr>
            <w:tcW w:w="1968" w:type="dxa"/>
            <w:tcBorders>
              <w:top w:val="single" w:sz="4" w:space="0" w:color="auto"/>
              <w:left w:val="single" w:sz="4" w:space="0" w:color="auto"/>
              <w:bottom w:val="single" w:sz="4" w:space="0" w:color="auto"/>
            </w:tcBorders>
            <w:vAlign w:val="center"/>
          </w:tcPr>
          <w:p w14:paraId="51DFB042" w14:textId="5AFDDEAF" w:rsidR="00E441C9" w:rsidRPr="007658D6" w:rsidRDefault="00E441C9" w:rsidP="00E441C9">
            <w:pPr>
              <w:jc w:val="center"/>
              <w:rPr>
                <w:rFonts w:ascii="Calibri" w:hAnsi="Calibri" w:cs="Calibri"/>
                <w:b/>
                <w:bCs/>
              </w:rPr>
            </w:pPr>
            <w:r w:rsidRPr="007658D6">
              <w:rPr>
                <w:rFonts w:ascii="Calibri" w:hAnsi="Calibri" w:cs="Calibri"/>
                <w:b/>
                <w:bCs/>
              </w:rPr>
              <w:t>Participants</w:t>
            </w:r>
          </w:p>
        </w:tc>
        <w:tc>
          <w:tcPr>
            <w:tcW w:w="2019" w:type="dxa"/>
            <w:tcBorders>
              <w:top w:val="single" w:sz="4" w:space="0" w:color="auto"/>
              <w:left w:val="single" w:sz="4" w:space="0" w:color="auto"/>
              <w:bottom w:val="single" w:sz="4" w:space="0" w:color="auto"/>
            </w:tcBorders>
            <w:vAlign w:val="center"/>
            <w:hideMark/>
          </w:tcPr>
          <w:p w14:paraId="529C622A" w14:textId="7FE99F6B" w:rsidR="00E441C9" w:rsidRPr="007658D6" w:rsidRDefault="00E441C9" w:rsidP="00E441C9">
            <w:pPr>
              <w:jc w:val="center"/>
              <w:rPr>
                <w:rFonts w:ascii="Calibri" w:hAnsi="Calibri" w:cs="Calibri"/>
                <w:b/>
                <w:bCs/>
              </w:rPr>
            </w:pPr>
            <w:r w:rsidRPr="007658D6">
              <w:rPr>
                <w:rFonts w:ascii="Calibri" w:hAnsi="Calibri" w:cs="Calibri"/>
                <w:b/>
                <w:bCs/>
              </w:rPr>
              <w:t>Success Rate</w:t>
            </w:r>
          </w:p>
        </w:tc>
        <w:tc>
          <w:tcPr>
            <w:tcW w:w="1678" w:type="dxa"/>
            <w:tcBorders>
              <w:top w:val="single" w:sz="4" w:space="0" w:color="auto"/>
              <w:left w:val="single" w:sz="4" w:space="0" w:color="auto"/>
              <w:bottom w:val="single" w:sz="4" w:space="0" w:color="auto"/>
              <w:right w:val="single" w:sz="4" w:space="0" w:color="auto"/>
            </w:tcBorders>
            <w:vAlign w:val="center"/>
            <w:hideMark/>
          </w:tcPr>
          <w:p w14:paraId="546EBF3F" w14:textId="77777777" w:rsidR="00E441C9" w:rsidRPr="007658D6" w:rsidRDefault="00E441C9" w:rsidP="00E441C9">
            <w:pPr>
              <w:jc w:val="center"/>
              <w:rPr>
                <w:rFonts w:ascii="Calibri" w:hAnsi="Calibri" w:cs="Calibri"/>
                <w:b/>
                <w:bCs/>
              </w:rPr>
            </w:pPr>
            <w:r w:rsidRPr="007658D6">
              <w:rPr>
                <w:rFonts w:ascii="Calibri" w:hAnsi="Calibri" w:cs="Calibri"/>
                <w:b/>
                <w:bCs/>
              </w:rPr>
              <w:t>Rank</w:t>
            </w:r>
          </w:p>
        </w:tc>
      </w:tr>
      <w:tr w:rsidR="00E441C9" w:rsidRPr="007658D6" w14:paraId="2058D6BF" w14:textId="77777777" w:rsidTr="00E441C9">
        <w:trPr>
          <w:tblCellSpacing w:w="15" w:type="dxa"/>
        </w:trPr>
        <w:tc>
          <w:tcPr>
            <w:tcW w:w="1371" w:type="dxa"/>
            <w:tcBorders>
              <w:left w:val="single" w:sz="4" w:space="0" w:color="auto"/>
              <w:right w:val="single" w:sz="4" w:space="0" w:color="auto"/>
            </w:tcBorders>
            <w:vAlign w:val="center"/>
            <w:hideMark/>
          </w:tcPr>
          <w:p w14:paraId="5111E049" w14:textId="77777777" w:rsidR="00E441C9" w:rsidRPr="007658D6" w:rsidRDefault="00E441C9" w:rsidP="00E441C9">
            <w:pPr>
              <w:jc w:val="center"/>
              <w:rPr>
                <w:rFonts w:ascii="Calibri" w:hAnsi="Calibri" w:cs="Calibri"/>
              </w:rPr>
            </w:pPr>
            <w:r w:rsidRPr="007658D6">
              <w:rPr>
                <w:rFonts w:ascii="Calibri" w:hAnsi="Calibri" w:cs="Calibri"/>
              </w:rPr>
              <w:t>Rosi</w:t>
            </w:r>
          </w:p>
        </w:tc>
        <w:tc>
          <w:tcPr>
            <w:tcW w:w="1193" w:type="dxa"/>
            <w:vAlign w:val="center"/>
            <w:hideMark/>
          </w:tcPr>
          <w:p w14:paraId="72830FD8" w14:textId="77777777" w:rsidR="00E441C9" w:rsidRPr="007658D6" w:rsidRDefault="00E441C9" w:rsidP="00E441C9">
            <w:pPr>
              <w:jc w:val="center"/>
              <w:rPr>
                <w:rFonts w:ascii="Calibri" w:hAnsi="Calibri" w:cs="Calibri"/>
              </w:rPr>
            </w:pPr>
            <w:r w:rsidRPr="007658D6">
              <w:rPr>
                <w:rFonts w:ascii="Calibri" w:hAnsi="Calibri" w:cs="Calibri"/>
              </w:rPr>
              <w:t>143</w:t>
            </w:r>
          </w:p>
        </w:tc>
        <w:tc>
          <w:tcPr>
            <w:tcW w:w="911" w:type="dxa"/>
            <w:tcBorders>
              <w:left w:val="single" w:sz="4" w:space="0" w:color="auto"/>
            </w:tcBorders>
            <w:vAlign w:val="center"/>
            <w:hideMark/>
          </w:tcPr>
          <w:p w14:paraId="2903C0F7" w14:textId="77777777" w:rsidR="00E441C9" w:rsidRPr="007658D6" w:rsidRDefault="00E441C9" w:rsidP="00E441C9">
            <w:pPr>
              <w:jc w:val="center"/>
              <w:rPr>
                <w:rFonts w:ascii="Calibri" w:hAnsi="Calibri" w:cs="Calibri"/>
              </w:rPr>
            </w:pPr>
            <w:r w:rsidRPr="007658D6">
              <w:rPr>
                <w:rFonts w:ascii="Calibri" w:hAnsi="Calibri" w:cs="Calibri"/>
              </w:rPr>
              <w:t>90</w:t>
            </w:r>
          </w:p>
        </w:tc>
        <w:tc>
          <w:tcPr>
            <w:tcW w:w="1968" w:type="dxa"/>
            <w:tcBorders>
              <w:left w:val="single" w:sz="4" w:space="0" w:color="auto"/>
            </w:tcBorders>
            <w:vAlign w:val="center"/>
          </w:tcPr>
          <w:p w14:paraId="120DA595" w14:textId="5854B391" w:rsidR="00E441C9" w:rsidRPr="007658D6" w:rsidRDefault="00E441C9" w:rsidP="00E441C9">
            <w:pPr>
              <w:jc w:val="center"/>
              <w:rPr>
                <w:rFonts w:ascii="Calibri" w:hAnsi="Calibri" w:cs="Calibri"/>
              </w:rPr>
            </w:pPr>
            <w:r w:rsidRPr="007658D6">
              <w:rPr>
                <w:rFonts w:ascii="Calibri" w:hAnsi="Calibri" w:cs="Calibri"/>
              </w:rPr>
              <w:t>233</w:t>
            </w:r>
          </w:p>
        </w:tc>
        <w:tc>
          <w:tcPr>
            <w:tcW w:w="2019" w:type="dxa"/>
            <w:tcBorders>
              <w:left w:val="single" w:sz="4" w:space="0" w:color="auto"/>
            </w:tcBorders>
            <w:vAlign w:val="center"/>
            <w:hideMark/>
          </w:tcPr>
          <w:p w14:paraId="100E8200" w14:textId="4F411560" w:rsidR="00E441C9" w:rsidRPr="007658D6" w:rsidRDefault="00E441C9" w:rsidP="00E441C9">
            <w:pPr>
              <w:jc w:val="center"/>
              <w:rPr>
                <w:rFonts w:ascii="Calibri" w:hAnsi="Calibri" w:cs="Calibri"/>
              </w:rPr>
            </w:pPr>
            <w:r w:rsidRPr="007658D6">
              <w:rPr>
                <w:rFonts w:ascii="Calibri" w:hAnsi="Calibri" w:cs="Calibri"/>
              </w:rPr>
              <w:t>61.4%</w:t>
            </w:r>
          </w:p>
        </w:tc>
        <w:tc>
          <w:tcPr>
            <w:tcW w:w="1678" w:type="dxa"/>
            <w:tcBorders>
              <w:left w:val="single" w:sz="4" w:space="0" w:color="auto"/>
              <w:right w:val="single" w:sz="4" w:space="0" w:color="auto"/>
            </w:tcBorders>
            <w:vAlign w:val="center"/>
            <w:hideMark/>
          </w:tcPr>
          <w:p w14:paraId="179DEB4E" w14:textId="77777777" w:rsidR="00E441C9" w:rsidRPr="007658D6" w:rsidRDefault="00E441C9" w:rsidP="00E441C9">
            <w:pPr>
              <w:jc w:val="center"/>
              <w:rPr>
                <w:rFonts w:ascii="Calibri" w:hAnsi="Calibri" w:cs="Calibri"/>
              </w:rPr>
            </w:pPr>
            <w:r w:rsidRPr="007658D6">
              <w:rPr>
                <w:rFonts w:ascii="Calibri" w:hAnsi="Calibri" w:cs="Calibri"/>
              </w:rPr>
              <w:t>1</w:t>
            </w:r>
          </w:p>
        </w:tc>
      </w:tr>
      <w:tr w:rsidR="00E441C9" w:rsidRPr="007658D6" w14:paraId="1BA00617" w14:textId="77777777" w:rsidTr="00E441C9">
        <w:trPr>
          <w:tblCellSpacing w:w="15" w:type="dxa"/>
        </w:trPr>
        <w:tc>
          <w:tcPr>
            <w:tcW w:w="1371" w:type="dxa"/>
            <w:tcBorders>
              <w:top w:val="single" w:sz="4" w:space="0" w:color="auto"/>
              <w:left w:val="single" w:sz="4" w:space="0" w:color="auto"/>
              <w:right w:val="single" w:sz="4" w:space="0" w:color="auto"/>
            </w:tcBorders>
            <w:vAlign w:val="center"/>
            <w:hideMark/>
          </w:tcPr>
          <w:p w14:paraId="0B3314D6" w14:textId="77777777" w:rsidR="00E441C9" w:rsidRPr="007658D6" w:rsidRDefault="00E441C9" w:rsidP="00E441C9">
            <w:pPr>
              <w:jc w:val="center"/>
              <w:rPr>
                <w:rFonts w:ascii="Calibri" w:hAnsi="Calibri" w:cs="Calibri"/>
              </w:rPr>
            </w:pPr>
            <w:r w:rsidRPr="007658D6">
              <w:rPr>
                <w:rFonts w:ascii="Calibri" w:hAnsi="Calibri" w:cs="Calibri"/>
              </w:rPr>
              <w:t>Lifestyle</w:t>
            </w:r>
          </w:p>
        </w:tc>
        <w:tc>
          <w:tcPr>
            <w:tcW w:w="1193" w:type="dxa"/>
            <w:tcBorders>
              <w:top w:val="single" w:sz="4" w:space="0" w:color="auto"/>
            </w:tcBorders>
            <w:vAlign w:val="center"/>
            <w:hideMark/>
          </w:tcPr>
          <w:p w14:paraId="0ED6DF9A" w14:textId="77777777" w:rsidR="00E441C9" w:rsidRPr="007658D6" w:rsidRDefault="00E441C9" w:rsidP="00E441C9">
            <w:pPr>
              <w:jc w:val="center"/>
              <w:rPr>
                <w:rFonts w:ascii="Calibri" w:hAnsi="Calibri" w:cs="Calibri"/>
              </w:rPr>
            </w:pPr>
            <w:r w:rsidRPr="007658D6">
              <w:rPr>
                <w:rFonts w:ascii="Calibri" w:hAnsi="Calibri" w:cs="Calibri"/>
              </w:rPr>
              <w:t>125</w:t>
            </w:r>
          </w:p>
        </w:tc>
        <w:tc>
          <w:tcPr>
            <w:tcW w:w="911" w:type="dxa"/>
            <w:tcBorders>
              <w:top w:val="single" w:sz="4" w:space="0" w:color="auto"/>
              <w:left w:val="single" w:sz="4" w:space="0" w:color="auto"/>
            </w:tcBorders>
            <w:vAlign w:val="center"/>
            <w:hideMark/>
          </w:tcPr>
          <w:p w14:paraId="644CD2A9" w14:textId="77777777" w:rsidR="00E441C9" w:rsidRPr="007658D6" w:rsidRDefault="00E441C9" w:rsidP="00E441C9">
            <w:pPr>
              <w:jc w:val="center"/>
              <w:rPr>
                <w:rFonts w:ascii="Calibri" w:hAnsi="Calibri" w:cs="Calibri"/>
              </w:rPr>
            </w:pPr>
            <w:r w:rsidRPr="007658D6">
              <w:rPr>
                <w:rFonts w:ascii="Calibri" w:hAnsi="Calibri" w:cs="Calibri"/>
              </w:rPr>
              <w:t>109</w:t>
            </w:r>
          </w:p>
        </w:tc>
        <w:tc>
          <w:tcPr>
            <w:tcW w:w="1968" w:type="dxa"/>
            <w:tcBorders>
              <w:top w:val="single" w:sz="4" w:space="0" w:color="auto"/>
              <w:left w:val="single" w:sz="4" w:space="0" w:color="auto"/>
            </w:tcBorders>
            <w:vAlign w:val="center"/>
          </w:tcPr>
          <w:p w14:paraId="03ABACC7" w14:textId="4479B344" w:rsidR="00E441C9" w:rsidRPr="007658D6" w:rsidRDefault="00E441C9" w:rsidP="00E441C9">
            <w:pPr>
              <w:jc w:val="center"/>
              <w:rPr>
                <w:rFonts w:ascii="Calibri" w:hAnsi="Calibri" w:cs="Calibri"/>
              </w:rPr>
            </w:pPr>
            <w:r w:rsidRPr="007658D6">
              <w:rPr>
                <w:rFonts w:ascii="Calibri" w:hAnsi="Calibri" w:cs="Calibri"/>
              </w:rPr>
              <w:t>234</w:t>
            </w:r>
          </w:p>
        </w:tc>
        <w:tc>
          <w:tcPr>
            <w:tcW w:w="2019" w:type="dxa"/>
            <w:tcBorders>
              <w:top w:val="single" w:sz="4" w:space="0" w:color="auto"/>
              <w:left w:val="single" w:sz="4" w:space="0" w:color="auto"/>
            </w:tcBorders>
            <w:vAlign w:val="center"/>
            <w:hideMark/>
          </w:tcPr>
          <w:p w14:paraId="723A94AD" w14:textId="6ED7BAF0" w:rsidR="00E441C9" w:rsidRPr="007658D6" w:rsidRDefault="00E441C9" w:rsidP="00E441C9">
            <w:pPr>
              <w:jc w:val="center"/>
              <w:rPr>
                <w:rFonts w:ascii="Calibri" w:hAnsi="Calibri" w:cs="Calibri"/>
              </w:rPr>
            </w:pPr>
            <w:r w:rsidRPr="007658D6">
              <w:rPr>
                <w:rFonts w:ascii="Calibri" w:hAnsi="Calibri" w:cs="Calibri"/>
              </w:rPr>
              <w:t>53.4%</w:t>
            </w:r>
          </w:p>
        </w:tc>
        <w:tc>
          <w:tcPr>
            <w:tcW w:w="1678" w:type="dxa"/>
            <w:tcBorders>
              <w:top w:val="single" w:sz="4" w:space="0" w:color="auto"/>
              <w:left w:val="single" w:sz="4" w:space="0" w:color="auto"/>
              <w:right w:val="single" w:sz="4" w:space="0" w:color="auto"/>
            </w:tcBorders>
            <w:vAlign w:val="center"/>
            <w:hideMark/>
          </w:tcPr>
          <w:p w14:paraId="4C66B7A5" w14:textId="77777777" w:rsidR="00E441C9" w:rsidRPr="007658D6" w:rsidRDefault="00E441C9" w:rsidP="00E441C9">
            <w:pPr>
              <w:jc w:val="center"/>
              <w:rPr>
                <w:rFonts w:ascii="Calibri" w:hAnsi="Calibri" w:cs="Calibri"/>
              </w:rPr>
            </w:pPr>
            <w:r w:rsidRPr="007658D6">
              <w:rPr>
                <w:rFonts w:ascii="Calibri" w:hAnsi="Calibri" w:cs="Calibri"/>
              </w:rPr>
              <w:t>2</w:t>
            </w:r>
          </w:p>
        </w:tc>
      </w:tr>
      <w:tr w:rsidR="00E441C9" w:rsidRPr="007658D6" w14:paraId="59CD2A9F" w14:textId="77777777" w:rsidTr="00E441C9">
        <w:trPr>
          <w:tblCellSpacing w:w="15" w:type="dxa"/>
        </w:trPr>
        <w:tc>
          <w:tcPr>
            <w:tcW w:w="1371" w:type="dxa"/>
            <w:tcBorders>
              <w:top w:val="single" w:sz="4" w:space="0" w:color="auto"/>
              <w:left w:val="single" w:sz="4" w:space="0" w:color="auto"/>
              <w:right w:val="single" w:sz="4" w:space="0" w:color="auto"/>
            </w:tcBorders>
            <w:vAlign w:val="center"/>
            <w:hideMark/>
          </w:tcPr>
          <w:p w14:paraId="65166F54" w14:textId="77777777" w:rsidR="00E441C9" w:rsidRPr="007658D6" w:rsidRDefault="00E441C9" w:rsidP="00E441C9">
            <w:pPr>
              <w:jc w:val="center"/>
              <w:rPr>
                <w:rFonts w:ascii="Calibri" w:hAnsi="Calibri" w:cs="Calibri"/>
              </w:rPr>
            </w:pPr>
            <w:r w:rsidRPr="007658D6">
              <w:rPr>
                <w:rFonts w:ascii="Calibri" w:hAnsi="Calibri" w:cs="Calibri"/>
              </w:rPr>
              <w:t>Met</w:t>
            </w:r>
          </w:p>
        </w:tc>
        <w:tc>
          <w:tcPr>
            <w:tcW w:w="1193" w:type="dxa"/>
            <w:tcBorders>
              <w:top w:val="single" w:sz="4" w:space="0" w:color="auto"/>
            </w:tcBorders>
            <w:vAlign w:val="center"/>
            <w:hideMark/>
          </w:tcPr>
          <w:p w14:paraId="7C1D6DFB" w14:textId="77777777" w:rsidR="00E441C9" w:rsidRPr="007658D6" w:rsidRDefault="00E441C9" w:rsidP="00E441C9">
            <w:pPr>
              <w:jc w:val="center"/>
              <w:rPr>
                <w:rFonts w:ascii="Calibri" w:hAnsi="Calibri" w:cs="Calibri"/>
              </w:rPr>
            </w:pPr>
            <w:r w:rsidRPr="007658D6">
              <w:rPr>
                <w:rFonts w:ascii="Calibri" w:hAnsi="Calibri" w:cs="Calibri"/>
              </w:rPr>
              <w:t>112</w:t>
            </w:r>
          </w:p>
        </w:tc>
        <w:tc>
          <w:tcPr>
            <w:tcW w:w="911" w:type="dxa"/>
            <w:tcBorders>
              <w:top w:val="single" w:sz="4" w:space="0" w:color="auto"/>
              <w:left w:val="single" w:sz="4" w:space="0" w:color="auto"/>
            </w:tcBorders>
            <w:vAlign w:val="center"/>
            <w:hideMark/>
          </w:tcPr>
          <w:p w14:paraId="1011412E" w14:textId="77777777" w:rsidR="00E441C9" w:rsidRPr="007658D6" w:rsidRDefault="00E441C9" w:rsidP="00E441C9">
            <w:pPr>
              <w:jc w:val="center"/>
              <w:rPr>
                <w:rFonts w:ascii="Calibri" w:hAnsi="Calibri" w:cs="Calibri"/>
              </w:rPr>
            </w:pPr>
            <w:r w:rsidRPr="007658D6">
              <w:rPr>
                <w:rFonts w:ascii="Calibri" w:hAnsi="Calibri" w:cs="Calibri"/>
              </w:rPr>
              <w:t>120</w:t>
            </w:r>
          </w:p>
        </w:tc>
        <w:tc>
          <w:tcPr>
            <w:tcW w:w="1968" w:type="dxa"/>
            <w:tcBorders>
              <w:top w:val="single" w:sz="4" w:space="0" w:color="auto"/>
              <w:left w:val="single" w:sz="4" w:space="0" w:color="auto"/>
            </w:tcBorders>
            <w:vAlign w:val="center"/>
          </w:tcPr>
          <w:p w14:paraId="3ECFE0D7" w14:textId="0BDF1FA2" w:rsidR="00E441C9" w:rsidRPr="007658D6" w:rsidRDefault="00E441C9" w:rsidP="00E441C9">
            <w:pPr>
              <w:jc w:val="center"/>
              <w:rPr>
                <w:rFonts w:ascii="Calibri" w:hAnsi="Calibri" w:cs="Calibri"/>
              </w:rPr>
            </w:pPr>
            <w:r w:rsidRPr="007658D6">
              <w:rPr>
                <w:rFonts w:ascii="Calibri" w:hAnsi="Calibri" w:cs="Calibri"/>
              </w:rPr>
              <w:t>232</w:t>
            </w:r>
          </w:p>
        </w:tc>
        <w:tc>
          <w:tcPr>
            <w:tcW w:w="2019" w:type="dxa"/>
            <w:tcBorders>
              <w:top w:val="single" w:sz="4" w:space="0" w:color="auto"/>
              <w:left w:val="single" w:sz="4" w:space="0" w:color="auto"/>
            </w:tcBorders>
            <w:vAlign w:val="center"/>
            <w:hideMark/>
          </w:tcPr>
          <w:p w14:paraId="00FE3318" w14:textId="4EF29927" w:rsidR="00E441C9" w:rsidRPr="007658D6" w:rsidRDefault="00E441C9" w:rsidP="00E441C9">
            <w:pPr>
              <w:jc w:val="center"/>
              <w:rPr>
                <w:rFonts w:ascii="Calibri" w:hAnsi="Calibri" w:cs="Calibri"/>
              </w:rPr>
            </w:pPr>
            <w:r w:rsidRPr="007658D6">
              <w:rPr>
                <w:rFonts w:ascii="Calibri" w:hAnsi="Calibri" w:cs="Calibri"/>
              </w:rPr>
              <w:t>48.3%</w:t>
            </w:r>
          </w:p>
        </w:tc>
        <w:tc>
          <w:tcPr>
            <w:tcW w:w="1678" w:type="dxa"/>
            <w:tcBorders>
              <w:top w:val="single" w:sz="4" w:space="0" w:color="auto"/>
              <w:left w:val="single" w:sz="4" w:space="0" w:color="auto"/>
              <w:right w:val="single" w:sz="4" w:space="0" w:color="auto"/>
            </w:tcBorders>
            <w:vAlign w:val="center"/>
            <w:hideMark/>
          </w:tcPr>
          <w:p w14:paraId="32FAC7BB" w14:textId="77777777" w:rsidR="00E441C9" w:rsidRPr="007658D6" w:rsidRDefault="00E441C9" w:rsidP="00E441C9">
            <w:pPr>
              <w:jc w:val="center"/>
              <w:rPr>
                <w:rFonts w:ascii="Calibri" w:hAnsi="Calibri" w:cs="Calibri"/>
              </w:rPr>
            </w:pPr>
            <w:r w:rsidRPr="007658D6">
              <w:rPr>
                <w:rFonts w:ascii="Calibri" w:hAnsi="Calibri" w:cs="Calibri"/>
              </w:rPr>
              <w:t>3</w:t>
            </w:r>
          </w:p>
        </w:tc>
      </w:tr>
      <w:tr w:rsidR="00E441C9" w:rsidRPr="007658D6" w14:paraId="3708FE5B" w14:textId="77777777" w:rsidTr="00E441C9">
        <w:trPr>
          <w:tblCellSpacing w:w="15" w:type="dxa"/>
        </w:trPr>
        <w:tc>
          <w:tcPr>
            <w:tcW w:w="1371" w:type="dxa"/>
            <w:tcBorders>
              <w:top w:val="single" w:sz="4" w:space="0" w:color="auto"/>
              <w:left w:val="single" w:sz="4" w:space="0" w:color="auto"/>
              <w:right w:val="single" w:sz="4" w:space="0" w:color="auto"/>
            </w:tcBorders>
            <w:vAlign w:val="center"/>
            <w:hideMark/>
          </w:tcPr>
          <w:p w14:paraId="2EE90B5D" w14:textId="77777777" w:rsidR="00E441C9" w:rsidRPr="007658D6" w:rsidRDefault="00E441C9" w:rsidP="00E441C9">
            <w:pPr>
              <w:jc w:val="center"/>
              <w:rPr>
                <w:rFonts w:ascii="Calibri" w:hAnsi="Calibri" w:cs="Calibri"/>
              </w:rPr>
            </w:pPr>
            <w:r w:rsidRPr="007658D6">
              <w:rPr>
                <w:rFonts w:ascii="Calibri" w:hAnsi="Calibri" w:cs="Calibri"/>
              </w:rPr>
              <w:t>Total</w:t>
            </w:r>
          </w:p>
        </w:tc>
        <w:tc>
          <w:tcPr>
            <w:tcW w:w="1193" w:type="dxa"/>
            <w:tcBorders>
              <w:top w:val="single" w:sz="4" w:space="0" w:color="auto"/>
            </w:tcBorders>
            <w:vAlign w:val="center"/>
            <w:hideMark/>
          </w:tcPr>
          <w:p w14:paraId="026A2F59" w14:textId="77777777" w:rsidR="00E441C9" w:rsidRPr="007658D6" w:rsidRDefault="00E441C9" w:rsidP="00E441C9">
            <w:pPr>
              <w:jc w:val="center"/>
              <w:rPr>
                <w:rFonts w:ascii="Calibri" w:hAnsi="Calibri" w:cs="Calibri"/>
              </w:rPr>
            </w:pPr>
            <w:r w:rsidRPr="007658D6">
              <w:rPr>
                <w:rFonts w:ascii="Calibri" w:hAnsi="Calibri" w:cs="Calibri"/>
              </w:rPr>
              <w:t>380</w:t>
            </w:r>
          </w:p>
        </w:tc>
        <w:tc>
          <w:tcPr>
            <w:tcW w:w="911" w:type="dxa"/>
            <w:tcBorders>
              <w:top w:val="single" w:sz="4" w:space="0" w:color="auto"/>
              <w:left w:val="single" w:sz="4" w:space="0" w:color="auto"/>
            </w:tcBorders>
            <w:vAlign w:val="center"/>
            <w:hideMark/>
          </w:tcPr>
          <w:p w14:paraId="3EA717CA" w14:textId="77777777" w:rsidR="00E441C9" w:rsidRPr="007658D6" w:rsidRDefault="00E441C9" w:rsidP="00E441C9">
            <w:pPr>
              <w:jc w:val="center"/>
              <w:rPr>
                <w:rFonts w:ascii="Calibri" w:hAnsi="Calibri" w:cs="Calibri"/>
              </w:rPr>
            </w:pPr>
            <w:r w:rsidRPr="007658D6">
              <w:rPr>
                <w:rFonts w:ascii="Calibri" w:hAnsi="Calibri" w:cs="Calibri"/>
              </w:rPr>
              <w:t>319</w:t>
            </w:r>
          </w:p>
        </w:tc>
        <w:tc>
          <w:tcPr>
            <w:tcW w:w="1968" w:type="dxa"/>
            <w:tcBorders>
              <w:top w:val="single" w:sz="4" w:space="0" w:color="auto"/>
              <w:left w:val="single" w:sz="4" w:space="0" w:color="auto"/>
            </w:tcBorders>
            <w:vAlign w:val="center"/>
          </w:tcPr>
          <w:p w14:paraId="13F52ADE" w14:textId="09CD3ADC" w:rsidR="00E441C9" w:rsidRPr="007658D6" w:rsidRDefault="00E441C9" w:rsidP="00E441C9">
            <w:pPr>
              <w:jc w:val="center"/>
              <w:rPr>
                <w:rFonts w:ascii="Calibri" w:hAnsi="Calibri" w:cs="Calibri"/>
              </w:rPr>
            </w:pPr>
            <w:r w:rsidRPr="007658D6">
              <w:rPr>
                <w:rFonts w:ascii="Calibri" w:hAnsi="Calibri" w:cs="Calibri"/>
              </w:rPr>
              <w:t>699</w:t>
            </w:r>
          </w:p>
        </w:tc>
        <w:tc>
          <w:tcPr>
            <w:tcW w:w="2019" w:type="dxa"/>
            <w:tcBorders>
              <w:top w:val="single" w:sz="4" w:space="0" w:color="auto"/>
              <w:left w:val="single" w:sz="4" w:space="0" w:color="auto"/>
            </w:tcBorders>
            <w:vAlign w:val="center"/>
            <w:hideMark/>
          </w:tcPr>
          <w:p w14:paraId="2B486B8A" w14:textId="73D89EBC" w:rsidR="00E441C9" w:rsidRPr="007658D6" w:rsidRDefault="00E441C9" w:rsidP="00E441C9">
            <w:pPr>
              <w:jc w:val="center"/>
              <w:rPr>
                <w:rFonts w:ascii="Calibri" w:hAnsi="Calibri" w:cs="Calibri"/>
              </w:rPr>
            </w:pPr>
            <w:r w:rsidRPr="007658D6">
              <w:rPr>
                <w:rFonts w:ascii="Calibri" w:hAnsi="Calibri" w:cs="Calibri"/>
              </w:rPr>
              <w:t>—</w:t>
            </w:r>
          </w:p>
        </w:tc>
        <w:tc>
          <w:tcPr>
            <w:tcW w:w="1678" w:type="dxa"/>
            <w:tcBorders>
              <w:top w:val="single" w:sz="4" w:space="0" w:color="auto"/>
              <w:left w:val="single" w:sz="4" w:space="0" w:color="auto"/>
              <w:right w:val="single" w:sz="4" w:space="0" w:color="auto"/>
            </w:tcBorders>
            <w:vAlign w:val="center"/>
            <w:hideMark/>
          </w:tcPr>
          <w:p w14:paraId="14525EBC" w14:textId="77777777" w:rsidR="00E441C9" w:rsidRPr="007658D6" w:rsidRDefault="00E441C9" w:rsidP="00E441C9">
            <w:pPr>
              <w:jc w:val="center"/>
              <w:rPr>
                <w:rFonts w:ascii="Calibri" w:hAnsi="Calibri" w:cs="Calibri"/>
              </w:rPr>
            </w:pPr>
            <w:r w:rsidRPr="007658D6">
              <w:rPr>
                <w:rFonts w:ascii="Calibri" w:hAnsi="Calibri" w:cs="Calibri"/>
              </w:rPr>
              <w:t>—</w:t>
            </w:r>
          </w:p>
        </w:tc>
      </w:tr>
    </w:tbl>
    <w:p w14:paraId="00CCFDB0" w14:textId="77777777" w:rsidR="000F039A" w:rsidRPr="007658D6" w:rsidRDefault="000F039A" w:rsidP="00E441C9">
      <w:pPr>
        <w:spacing w:after="0"/>
        <w:rPr>
          <w:rFonts w:ascii="Calibri" w:hAnsi="Calibri" w:cs="Calibri"/>
        </w:rPr>
      </w:pPr>
    </w:p>
    <w:p w14:paraId="70DEA9AD" w14:textId="2BC9E9B4" w:rsidR="00E441C9" w:rsidRPr="007658D6" w:rsidRDefault="00E441C9" w:rsidP="00E441C9">
      <w:pPr>
        <w:rPr>
          <w:rFonts w:ascii="Calibri" w:hAnsi="Calibri" w:cs="Calibri"/>
        </w:rPr>
      </w:pPr>
      <w:r w:rsidRPr="007658D6">
        <w:rPr>
          <w:rFonts w:ascii="Calibri" w:hAnsi="Calibri" w:cs="Calibri"/>
        </w:rPr>
        <w:t xml:space="preserve">Rosi had the highest observed success rate at 61.4%, followed by Lifestyle at 53.4% and </w:t>
      </w:r>
      <w:proofErr w:type="gramStart"/>
      <w:r w:rsidRPr="007658D6">
        <w:rPr>
          <w:rFonts w:ascii="Calibri" w:hAnsi="Calibri" w:cs="Calibri"/>
        </w:rPr>
        <w:t>Met</w:t>
      </w:r>
      <w:proofErr w:type="gramEnd"/>
      <w:r w:rsidRPr="007658D6">
        <w:rPr>
          <w:rFonts w:ascii="Calibri" w:hAnsi="Calibri" w:cs="Calibri"/>
        </w:rPr>
        <w:t xml:space="preserve"> at 48.3%. The bootstrap KDE plots show roughly bell-shaped distributions centered around these rates. The Rosi distribution is shifted to the right, indicating generally higher estimated success rates, while Met is shifted to the left. The ECDF plots show a similar pattern. However, the distributions overlap, especially between Met and Lifestyle, indicating uncertainty about the differences in effectiveness.</w:t>
      </w:r>
      <w:r w:rsidRPr="007658D6">
        <w:rPr>
          <w:rFonts w:ascii="Calibri" w:hAnsi="Calibri" w:cs="Calibri"/>
          <w:noProof/>
        </w:rPr>
        <w:lastRenderedPageBreak/>
        <w:drawing>
          <wp:inline distT="0" distB="0" distL="0" distR="0" wp14:anchorId="51454B56" wp14:editId="114DF8CE">
            <wp:extent cx="5943600" cy="233684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_success.png"/>
                    <pic:cNvPicPr/>
                  </pic:nvPicPr>
                  <pic:blipFill>
                    <a:blip r:embed="rId4"/>
                    <a:stretch>
                      <a:fillRect/>
                    </a:stretch>
                  </pic:blipFill>
                  <pic:spPr>
                    <a:xfrm>
                      <a:off x="0" y="0"/>
                      <a:ext cx="5943600" cy="2336848"/>
                    </a:xfrm>
                    <a:prstGeom prst="rect">
                      <a:avLst/>
                    </a:prstGeom>
                  </pic:spPr>
                </pic:pic>
              </a:graphicData>
            </a:graphic>
          </wp:inline>
        </w:drawing>
      </w:r>
      <w:r w:rsidRPr="007658D6">
        <w:rPr>
          <w:rFonts w:ascii="Calibri" w:hAnsi="Calibri" w:cs="Calibri"/>
        </w:rPr>
        <w:t>Figure 1. Bootstrap KDE and ECDF plots of treatment success rates</w:t>
      </w:r>
    </w:p>
    <w:p w14:paraId="1743E56D" w14:textId="77777777" w:rsidR="00E441C9" w:rsidRPr="007658D6" w:rsidRDefault="00E441C9" w:rsidP="00E441C9">
      <w:pPr>
        <w:rPr>
          <w:rFonts w:ascii="Calibri" w:hAnsi="Calibri" w:cs="Calibri"/>
        </w:rPr>
      </w:pPr>
      <w:r w:rsidRPr="007658D6">
        <w:rPr>
          <w:rFonts w:ascii="Calibri" w:hAnsi="Calibri" w:cs="Calibri"/>
        </w:rPr>
        <w:t>Table 2. Treatment Differences and Bootstrap Confidence Intervals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1095"/>
        <w:gridCol w:w="1665"/>
        <w:gridCol w:w="1665"/>
        <w:gridCol w:w="1690"/>
      </w:tblGrid>
      <w:tr w:rsidR="00E441C9" w:rsidRPr="007658D6" w14:paraId="499F467E" w14:textId="77777777" w:rsidTr="00582DE8">
        <w:trPr>
          <w:tblCellSpacing w:w="15" w:type="dxa"/>
        </w:trPr>
        <w:tc>
          <w:tcPr>
            <w:tcW w:w="0" w:type="auto"/>
            <w:tcBorders>
              <w:top w:val="single" w:sz="4" w:space="0" w:color="auto"/>
              <w:left w:val="single" w:sz="4" w:space="0" w:color="auto"/>
            </w:tcBorders>
            <w:vAlign w:val="center"/>
            <w:hideMark/>
          </w:tcPr>
          <w:p w14:paraId="22C5464A" w14:textId="77777777" w:rsidR="00E441C9" w:rsidRPr="007658D6" w:rsidRDefault="00E441C9" w:rsidP="00E441C9">
            <w:pPr>
              <w:rPr>
                <w:rFonts w:ascii="Calibri" w:hAnsi="Calibri" w:cs="Calibri"/>
                <w:b/>
                <w:bCs/>
              </w:rPr>
            </w:pPr>
            <w:r w:rsidRPr="007658D6">
              <w:rPr>
                <w:rFonts w:ascii="Calibri" w:hAnsi="Calibri" w:cs="Calibri"/>
                <w:b/>
                <w:bCs/>
              </w:rPr>
              <w:t>Treatment Comparison</w:t>
            </w:r>
          </w:p>
        </w:tc>
        <w:tc>
          <w:tcPr>
            <w:tcW w:w="0" w:type="auto"/>
            <w:tcBorders>
              <w:top w:val="single" w:sz="4" w:space="0" w:color="auto"/>
              <w:left w:val="single" w:sz="4" w:space="0" w:color="auto"/>
            </w:tcBorders>
            <w:vAlign w:val="center"/>
            <w:hideMark/>
          </w:tcPr>
          <w:p w14:paraId="0526477F" w14:textId="77777777" w:rsidR="00E441C9" w:rsidRPr="007658D6" w:rsidRDefault="00E441C9" w:rsidP="00E441C9">
            <w:pPr>
              <w:rPr>
                <w:rFonts w:ascii="Calibri" w:hAnsi="Calibri" w:cs="Calibri"/>
                <w:b/>
                <w:bCs/>
              </w:rPr>
            </w:pPr>
            <w:r w:rsidRPr="007658D6">
              <w:rPr>
                <w:rFonts w:ascii="Calibri" w:hAnsi="Calibri" w:cs="Calibri"/>
                <w:b/>
                <w:bCs/>
              </w:rPr>
              <w:t>Difference</w:t>
            </w:r>
          </w:p>
        </w:tc>
        <w:tc>
          <w:tcPr>
            <w:tcW w:w="0" w:type="auto"/>
            <w:tcBorders>
              <w:top w:val="single" w:sz="4" w:space="0" w:color="auto"/>
              <w:left w:val="single" w:sz="4" w:space="0" w:color="auto"/>
            </w:tcBorders>
            <w:vAlign w:val="center"/>
            <w:hideMark/>
          </w:tcPr>
          <w:p w14:paraId="289198F9" w14:textId="77777777" w:rsidR="00E441C9" w:rsidRPr="007658D6" w:rsidRDefault="00E441C9" w:rsidP="00E441C9">
            <w:pPr>
              <w:rPr>
                <w:rFonts w:ascii="Calibri" w:hAnsi="Calibri" w:cs="Calibri"/>
                <w:b/>
                <w:bCs/>
              </w:rPr>
            </w:pPr>
            <w:r w:rsidRPr="007658D6">
              <w:rPr>
                <w:rFonts w:ascii="Calibri" w:hAnsi="Calibri" w:cs="Calibri"/>
                <w:b/>
                <w:bCs/>
              </w:rPr>
              <w:t>90% CI</w:t>
            </w:r>
          </w:p>
        </w:tc>
        <w:tc>
          <w:tcPr>
            <w:tcW w:w="0" w:type="auto"/>
            <w:tcBorders>
              <w:top w:val="single" w:sz="4" w:space="0" w:color="auto"/>
              <w:left w:val="single" w:sz="4" w:space="0" w:color="auto"/>
            </w:tcBorders>
            <w:vAlign w:val="center"/>
            <w:hideMark/>
          </w:tcPr>
          <w:p w14:paraId="74A64705" w14:textId="77777777" w:rsidR="00E441C9" w:rsidRPr="007658D6" w:rsidRDefault="00E441C9" w:rsidP="00E441C9">
            <w:pPr>
              <w:rPr>
                <w:rFonts w:ascii="Calibri" w:hAnsi="Calibri" w:cs="Calibri"/>
                <w:b/>
                <w:bCs/>
              </w:rPr>
            </w:pPr>
            <w:r w:rsidRPr="007658D6">
              <w:rPr>
                <w:rFonts w:ascii="Calibri" w:hAnsi="Calibri" w:cs="Calibri"/>
                <w:b/>
                <w:bCs/>
              </w:rPr>
              <w:t>95% CI</w:t>
            </w:r>
          </w:p>
        </w:tc>
        <w:tc>
          <w:tcPr>
            <w:tcW w:w="0" w:type="auto"/>
            <w:tcBorders>
              <w:top w:val="single" w:sz="4" w:space="0" w:color="auto"/>
              <w:left w:val="single" w:sz="4" w:space="0" w:color="auto"/>
              <w:right w:val="single" w:sz="4" w:space="0" w:color="auto"/>
            </w:tcBorders>
            <w:vAlign w:val="center"/>
            <w:hideMark/>
          </w:tcPr>
          <w:p w14:paraId="29FF7E5C" w14:textId="77777777" w:rsidR="00E441C9" w:rsidRPr="007658D6" w:rsidRDefault="00E441C9" w:rsidP="00E441C9">
            <w:pPr>
              <w:rPr>
                <w:rFonts w:ascii="Calibri" w:hAnsi="Calibri" w:cs="Calibri"/>
                <w:b/>
                <w:bCs/>
              </w:rPr>
            </w:pPr>
            <w:r w:rsidRPr="007658D6">
              <w:rPr>
                <w:rFonts w:ascii="Calibri" w:hAnsi="Calibri" w:cs="Calibri"/>
                <w:b/>
                <w:bCs/>
              </w:rPr>
              <w:t>99% CI</w:t>
            </w:r>
          </w:p>
        </w:tc>
      </w:tr>
      <w:tr w:rsidR="00E441C9" w:rsidRPr="007658D6" w14:paraId="6369C865" w14:textId="77777777" w:rsidTr="00582DE8">
        <w:trPr>
          <w:tblCellSpacing w:w="15" w:type="dxa"/>
        </w:trPr>
        <w:tc>
          <w:tcPr>
            <w:tcW w:w="0" w:type="auto"/>
            <w:tcBorders>
              <w:top w:val="single" w:sz="4" w:space="0" w:color="auto"/>
              <w:left w:val="single" w:sz="4" w:space="0" w:color="auto"/>
            </w:tcBorders>
            <w:vAlign w:val="center"/>
            <w:hideMark/>
          </w:tcPr>
          <w:p w14:paraId="7E603D04" w14:textId="4DEB0D7F" w:rsidR="00E441C9" w:rsidRPr="007658D6" w:rsidRDefault="00E441C9" w:rsidP="00E441C9">
            <w:pPr>
              <w:rPr>
                <w:rFonts w:ascii="Calibri" w:hAnsi="Calibri" w:cs="Calibri"/>
              </w:rPr>
            </w:pPr>
            <w:r w:rsidRPr="007658D6">
              <w:rPr>
                <w:rFonts w:ascii="Calibri" w:hAnsi="Calibri" w:cs="Calibri"/>
              </w:rPr>
              <w:t xml:space="preserve">Met </w:t>
            </w:r>
            <w:r w:rsidR="0060006F">
              <w:rPr>
                <w:rFonts w:ascii="Calibri" w:hAnsi="Calibri" w:cs="Calibri"/>
              </w:rPr>
              <w:t>VS</w:t>
            </w:r>
            <w:r w:rsidRPr="007658D6">
              <w:rPr>
                <w:rFonts w:ascii="Calibri" w:hAnsi="Calibri" w:cs="Calibri"/>
              </w:rPr>
              <w:t xml:space="preserve"> Rosi</w:t>
            </w:r>
          </w:p>
        </w:tc>
        <w:tc>
          <w:tcPr>
            <w:tcW w:w="0" w:type="auto"/>
            <w:tcBorders>
              <w:top w:val="single" w:sz="4" w:space="0" w:color="auto"/>
              <w:left w:val="single" w:sz="4" w:space="0" w:color="auto"/>
            </w:tcBorders>
            <w:vAlign w:val="center"/>
            <w:hideMark/>
          </w:tcPr>
          <w:p w14:paraId="4D11BC36" w14:textId="6DE9B648" w:rsidR="00E441C9" w:rsidRPr="007658D6" w:rsidRDefault="00E441C9" w:rsidP="007556AA">
            <w:pPr>
              <w:rPr>
                <w:rFonts w:ascii="Calibri" w:hAnsi="Calibri" w:cs="Calibri"/>
              </w:rPr>
            </w:pPr>
            <w:r w:rsidRPr="007658D6">
              <w:rPr>
                <w:rFonts w:ascii="Calibri" w:hAnsi="Calibri" w:cs="Calibri"/>
              </w:rPr>
              <w:t>−13.1</w:t>
            </w:r>
            <w:r w:rsidR="007556AA" w:rsidRPr="007658D6">
              <w:rPr>
                <w:rFonts w:ascii="Calibri" w:hAnsi="Calibri" w:cs="Calibri"/>
              </w:rPr>
              <w:t xml:space="preserve"> pp</w:t>
            </w:r>
          </w:p>
        </w:tc>
        <w:tc>
          <w:tcPr>
            <w:tcW w:w="0" w:type="auto"/>
            <w:tcBorders>
              <w:top w:val="single" w:sz="4" w:space="0" w:color="auto"/>
              <w:left w:val="single" w:sz="4" w:space="0" w:color="auto"/>
            </w:tcBorders>
            <w:vAlign w:val="center"/>
            <w:hideMark/>
          </w:tcPr>
          <w:p w14:paraId="3C6E43E7" w14:textId="77777777" w:rsidR="00E441C9" w:rsidRPr="007658D6" w:rsidRDefault="00E441C9" w:rsidP="00E441C9">
            <w:pPr>
              <w:rPr>
                <w:rFonts w:ascii="Calibri" w:hAnsi="Calibri" w:cs="Calibri"/>
              </w:rPr>
            </w:pPr>
            <w:r w:rsidRPr="007658D6">
              <w:rPr>
                <w:rFonts w:ascii="Calibri" w:hAnsi="Calibri" w:cs="Calibri"/>
              </w:rPr>
              <w:t>[−0.204, −0.054]</w:t>
            </w:r>
          </w:p>
        </w:tc>
        <w:tc>
          <w:tcPr>
            <w:tcW w:w="0" w:type="auto"/>
            <w:tcBorders>
              <w:top w:val="single" w:sz="4" w:space="0" w:color="auto"/>
              <w:left w:val="single" w:sz="4" w:space="0" w:color="auto"/>
            </w:tcBorders>
            <w:vAlign w:val="center"/>
            <w:hideMark/>
          </w:tcPr>
          <w:p w14:paraId="6D2FB80D" w14:textId="77777777" w:rsidR="00E441C9" w:rsidRPr="007658D6" w:rsidRDefault="00E441C9" w:rsidP="00E441C9">
            <w:pPr>
              <w:rPr>
                <w:rFonts w:ascii="Calibri" w:hAnsi="Calibri" w:cs="Calibri"/>
              </w:rPr>
            </w:pPr>
            <w:r w:rsidRPr="007658D6">
              <w:rPr>
                <w:rFonts w:ascii="Calibri" w:hAnsi="Calibri" w:cs="Calibri"/>
              </w:rPr>
              <w:t>[−0.221, −0.041]</w:t>
            </w:r>
          </w:p>
        </w:tc>
        <w:tc>
          <w:tcPr>
            <w:tcW w:w="0" w:type="auto"/>
            <w:tcBorders>
              <w:top w:val="single" w:sz="4" w:space="0" w:color="auto"/>
              <w:left w:val="single" w:sz="4" w:space="0" w:color="auto"/>
              <w:right w:val="single" w:sz="4" w:space="0" w:color="auto"/>
            </w:tcBorders>
            <w:vAlign w:val="center"/>
            <w:hideMark/>
          </w:tcPr>
          <w:p w14:paraId="5AB4C155" w14:textId="77777777" w:rsidR="00E441C9" w:rsidRPr="007658D6" w:rsidRDefault="00E441C9" w:rsidP="00E441C9">
            <w:pPr>
              <w:rPr>
                <w:rFonts w:ascii="Calibri" w:hAnsi="Calibri" w:cs="Calibri"/>
              </w:rPr>
            </w:pPr>
            <w:r w:rsidRPr="007658D6">
              <w:rPr>
                <w:rFonts w:ascii="Calibri" w:hAnsi="Calibri" w:cs="Calibri"/>
              </w:rPr>
              <w:t>[−0.247, −0.011]</w:t>
            </w:r>
          </w:p>
        </w:tc>
      </w:tr>
      <w:tr w:rsidR="00E441C9" w:rsidRPr="007658D6" w14:paraId="65B4F9F0" w14:textId="77777777" w:rsidTr="00582DE8">
        <w:trPr>
          <w:tblCellSpacing w:w="15" w:type="dxa"/>
        </w:trPr>
        <w:tc>
          <w:tcPr>
            <w:tcW w:w="0" w:type="auto"/>
            <w:tcBorders>
              <w:top w:val="single" w:sz="4" w:space="0" w:color="auto"/>
              <w:left w:val="single" w:sz="4" w:space="0" w:color="auto"/>
            </w:tcBorders>
            <w:vAlign w:val="center"/>
            <w:hideMark/>
          </w:tcPr>
          <w:p w14:paraId="6C39C7D2" w14:textId="230AC0EA" w:rsidR="00E441C9" w:rsidRPr="007658D6" w:rsidRDefault="00E441C9" w:rsidP="00E441C9">
            <w:pPr>
              <w:rPr>
                <w:rFonts w:ascii="Calibri" w:hAnsi="Calibri" w:cs="Calibri"/>
              </w:rPr>
            </w:pPr>
            <w:r w:rsidRPr="007658D6">
              <w:rPr>
                <w:rFonts w:ascii="Calibri" w:hAnsi="Calibri" w:cs="Calibri"/>
              </w:rPr>
              <w:t xml:space="preserve">Met </w:t>
            </w:r>
            <w:r w:rsidR="0060006F">
              <w:rPr>
                <w:rFonts w:ascii="Calibri" w:hAnsi="Calibri" w:cs="Calibri"/>
              </w:rPr>
              <w:t>VS</w:t>
            </w:r>
            <w:r w:rsidRPr="007658D6">
              <w:rPr>
                <w:rFonts w:ascii="Calibri" w:hAnsi="Calibri" w:cs="Calibri"/>
              </w:rPr>
              <w:t xml:space="preserve"> Lifestyle</w:t>
            </w:r>
          </w:p>
        </w:tc>
        <w:tc>
          <w:tcPr>
            <w:tcW w:w="0" w:type="auto"/>
            <w:tcBorders>
              <w:top w:val="single" w:sz="4" w:space="0" w:color="auto"/>
              <w:left w:val="single" w:sz="4" w:space="0" w:color="auto"/>
            </w:tcBorders>
            <w:vAlign w:val="center"/>
            <w:hideMark/>
          </w:tcPr>
          <w:p w14:paraId="7FB3AA29" w14:textId="727C3852" w:rsidR="00E441C9" w:rsidRPr="007658D6" w:rsidRDefault="00E441C9" w:rsidP="007556AA">
            <w:pPr>
              <w:rPr>
                <w:rFonts w:ascii="Calibri" w:hAnsi="Calibri" w:cs="Calibri"/>
              </w:rPr>
            </w:pPr>
            <w:r w:rsidRPr="007658D6">
              <w:rPr>
                <w:rFonts w:ascii="Calibri" w:hAnsi="Calibri" w:cs="Calibri"/>
              </w:rPr>
              <w:t>−5.1</w:t>
            </w:r>
            <w:r w:rsidR="007556AA" w:rsidRPr="007658D6">
              <w:rPr>
                <w:rFonts w:ascii="Calibri" w:hAnsi="Calibri" w:cs="Calibri"/>
              </w:rPr>
              <w:t xml:space="preserve"> pp</w:t>
            </w:r>
          </w:p>
        </w:tc>
        <w:tc>
          <w:tcPr>
            <w:tcW w:w="0" w:type="auto"/>
            <w:tcBorders>
              <w:top w:val="single" w:sz="4" w:space="0" w:color="auto"/>
              <w:left w:val="single" w:sz="4" w:space="0" w:color="auto"/>
            </w:tcBorders>
            <w:vAlign w:val="center"/>
            <w:hideMark/>
          </w:tcPr>
          <w:p w14:paraId="2A93F63C" w14:textId="77777777" w:rsidR="00E441C9" w:rsidRPr="007658D6" w:rsidRDefault="00E441C9" w:rsidP="00E441C9">
            <w:pPr>
              <w:rPr>
                <w:rFonts w:ascii="Calibri" w:hAnsi="Calibri" w:cs="Calibri"/>
              </w:rPr>
            </w:pPr>
            <w:r w:rsidRPr="007658D6">
              <w:rPr>
                <w:rFonts w:ascii="Calibri" w:hAnsi="Calibri" w:cs="Calibri"/>
              </w:rPr>
              <w:t>[−0.128, 0.026]</w:t>
            </w:r>
          </w:p>
        </w:tc>
        <w:tc>
          <w:tcPr>
            <w:tcW w:w="0" w:type="auto"/>
            <w:tcBorders>
              <w:top w:val="single" w:sz="4" w:space="0" w:color="auto"/>
              <w:left w:val="single" w:sz="4" w:space="0" w:color="auto"/>
            </w:tcBorders>
            <w:vAlign w:val="center"/>
            <w:hideMark/>
          </w:tcPr>
          <w:p w14:paraId="095A21B5" w14:textId="77777777" w:rsidR="00E441C9" w:rsidRPr="007658D6" w:rsidRDefault="00E441C9" w:rsidP="00E441C9">
            <w:pPr>
              <w:rPr>
                <w:rFonts w:ascii="Calibri" w:hAnsi="Calibri" w:cs="Calibri"/>
              </w:rPr>
            </w:pPr>
            <w:r w:rsidRPr="007658D6">
              <w:rPr>
                <w:rFonts w:ascii="Calibri" w:hAnsi="Calibri" w:cs="Calibri"/>
              </w:rPr>
              <w:t>[−0.142, 0.039]</w:t>
            </w:r>
          </w:p>
        </w:tc>
        <w:tc>
          <w:tcPr>
            <w:tcW w:w="0" w:type="auto"/>
            <w:tcBorders>
              <w:top w:val="single" w:sz="4" w:space="0" w:color="auto"/>
              <w:left w:val="single" w:sz="4" w:space="0" w:color="auto"/>
              <w:right w:val="single" w:sz="4" w:space="0" w:color="auto"/>
            </w:tcBorders>
            <w:vAlign w:val="center"/>
            <w:hideMark/>
          </w:tcPr>
          <w:p w14:paraId="61CBE249" w14:textId="77777777" w:rsidR="00E441C9" w:rsidRPr="007658D6" w:rsidRDefault="00E441C9" w:rsidP="00E441C9">
            <w:pPr>
              <w:rPr>
                <w:rFonts w:ascii="Calibri" w:hAnsi="Calibri" w:cs="Calibri"/>
              </w:rPr>
            </w:pPr>
            <w:r w:rsidRPr="007658D6">
              <w:rPr>
                <w:rFonts w:ascii="Calibri" w:hAnsi="Calibri" w:cs="Calibri"/>
              </w:rPr>
              <w:t>[−0.171, 0.064]</w:t>
            </w:r>
          </w:p>
        </w:tc>
      </w:tr>
      <w:tr w:rsidR="00E441C9" w:rsidRPr="007658D6" w14:paraId="70BEFBCE" w14:textId="77777777" w:rsidTr="00582DE8">
        <w:trPr>
          <w:tblCellSpacing w:w="15" w:type="dxa"/>
        </w:trPr>
        <w:tc>
          <w:tcPr>
            <w:tcW w:w="0" w:type="auto"/>
            <w:tcBorders>
              <w:top w:val="single" w:sz="4" w:space="0" w:color="auto"/>
              <w:left w:val="single" w:sz="4" w:space="0" w:color="auto"/>
              <w:bottom w:val="single" w:sz="4" w:space="0" w:color="auto"/>
            </w:tcBorders>
            <w:vAlign w:val="center"/>
            <w:hideMark/>
          </w:tcPr>
          <w:p w14:paraId="6AE549D8" w14:textId="2303B690" w:rsidR="00E441C9" w:rsidRPr="007658D6" w:rsidRDefault="00E441C9" w:rsidP="00E441C9">
            <w:pPr>
              <w:rPr>
                <w:rFonts w:ascii="Calibri" w:hAnsi="Calibri" w:cs="Calibri"/>
              </w:rPr>
            </w:pPr>
            <w:r w:rsidRPr="007658D6">
              <w:rPr>
                <w:rFonts w:ascii="Calibri" w:hAnsi="Calibri" w:cs="Calibri"/>
              </w:rPr>
              <w:t xml:space="preserve">Rosi </w:t>
            </w:r>
            <w:r w:rsidR="0060006F">
              <w:rPr>
                <w:rFonts w:ascii="Calibri" w:hAnsi="Calibri" w:cs="Calibri"/>
              </w:rPr>
              <w:t xml:space="preserve">VS </w:t>
            </w:r>
            <w:r w:rsidRPr="007658D6">
              <w:rPr>
                <w:rFonts w:ascii="Calibri" w:hAnsi="Calibri" w:cs="Calibri"/>
              </w:rPr>
              <w:t>Lifestyle</w:t>
            </w:r>
          </w:p>
        </w:tc>
        <w:tc>
          <w:tcPr>
            <w:tcW w:w="0" w:type="auto"/>
            <w:tcBorders>
              <w:top w:val="single" w:sz="4" w:space="0" w:color="auto"/>
              <w:left w:val="single" w:sz="4" w:space="0" w:color="auto"/>
              <w:bottom w:val="single" w:sz="4" w:space="0" w:color="auto"/>
            </w:tcBorders>
            <w:vAlign w:val="center"/>
            <w:hideMark/>
          </w:tcPr>
          <w:p w14:paraId="794EE59E" w14:textId="7666109B" w:rsidR="00E441C9" w:rsidRPr="007658D6" w:rsidRDefault="00E441C9" w:rsidP="007556AA">
            <w:pPr>
              <w:rPr>
                <w:rFonts w:ascii="Calibri" w:hAnsi="Calibri" w:cs="Calibri"/>
              </w:rPr>
            </w:pPr>
            <w:r w:rsidRPr="007658D6">
              <w:rPr>
                <w:rFonts w:ascii="Calibri" w:hAnsi="Calibri" w:cs="Calibri"/>
              </w:rPr>
              <w:t>+7.9</w:t>
            </w:r>
            <w:r w:rsidR="007556AA" w:rsidRPr="007658D6">
              <w:rPr>
                <w:rFonts w:ascii="Calibri" w:hAnsi="Calibri" w:cs="Calibri"/>
              </w:rPr>
              <w:t xml:space="preserve"> pp</w:t>
            </w:r>
          </w:p>
        </w:tc>
        <w:tc>
          <w:tcPr>
            <w:tcW w:w="0" w:type="auto"/>
            <w:tcBorders>
              <w:top w:val="single" w:sz="4" w:space="0" w:color="auto"/>
              <w:left w:val="single" w:sz="4" w:space="0" w:color="auto"/>
              <w:bottom w:val="single" w:sz="4" w:space="0" w:color="auto"/>
            </w:tcBorders>
            <w:vAlign w:val="center"/>
            <w:hideMark/>
          </w:tcPr>
          <w:p w14:paraId="62CBCBDE" w14:textId="77777777" w:rsidR="00E441C9" w:rsidRPr="007658D6" w:rsidRDefault="00E441C9" w:rsidP="00E441C9">
            <w:pPr>
              <w:rPr>
                <w:rFonts w:ascii="Calibri" w:hAnsi="Calibri" w:cs="Calibri"/>
              </w:rPr>
            </w:pPr>
            <w:r w:rsidRPr="007658D6">
              <w:rPr>
                <w:rFonts w:ascii="Calibri" w:hAnsi="Calibri" w:cs="Calibri"/>
              </w:rPr>
              <w:t>[0.003, 0.153]</w:t>
            </w:r>
          </w:p>
        </w:tc>
        <w:tc>
          <w:tcPr>
            <w:tcW w:w="0" w:type="auto"/>
            <w:tcBorders>
              <w:top w:val="single" w:sz="4" w:space="0" w:color="auto"/>
              <w:left w:val="single" w:sz="4" w:space="0" w:color="auto"/>
              <w:bottom w:val="single" w:sz="4" w:space="0" w:color="auto"/>
            </w:tcBorders>
            <w:vAlign w:val="center"/>
            <w:hideMark/>
          </w:tcPr>
          <w:p w14:paraId="3F58EC06" w14:textId="77777777" w:rsidR="00E441C9" w:rsidRPr="007658D6" w:rsidRDefault="00E441C9" w:rsidP="00E441C9">
            <w:pPr>
              <w:rPr>
                <w:rFonts w:ascii="Calibri" w:hAnsi="Calibri" w:cs="Calibri"/>
              </w:rPr>
            </w:pPr>
            <w:r w:rsidRPr="007658D6">
              <w:rPr>
                <w:rFonts w:ascii="Calibri" w:hAnsi="Calibri" w:cs="Calibri"/>
              </w:rPr>
              <w:t>[−0.010, 0.169]</w:t>
            </w:r>
          </w:p>
        </w:tc>
        <w:tc>
          <w:tcPr>
            <w:tcW w:w="0" w:type="auto"/>
            <w:tcBorders>
              <w:top w:val="single" w:sz="4" w:space="0" w:color="auto"/>
              <w:left w:val="single" w:sz="4" w:space="0" w:color="auto"/>
              <w:bottom w:val="single" w:sz="4" w:space="0" w:color="auto"/>
              <w:right w:val="single" w:sz="4" w:space="0" w:color="auto"/>
            </w:tcBorders>
            <w:vAlign w:val="center"/>
            <w:hideMark/>
          </w:tcPr>
          <w:p w14:paraId="51637CFE" w14:textId="77777777" w:rsidR="00E441C9" w:rsidRPr="007658D6" w:rsidRDefault="00E441C9" w:rsidP="00E441C9">
            <w:pPr>
              <w:rPr>
                <w:rFonts w:ascii="Calibri" w:hAnsi="Calibri" w:cs="Calibri"/>
              </w:rPr>
            </w:pPr>
            <w:r w:rsidRPr="007658D6">
              <w:rPr>
                <w:rFonts w:ascii="Calibri" w:hAnsi="Calibri" w:cs="Calibri"/>
              </w:rPr>
              <w:t>[−0.036, 0.195]</w:t>
            </w:r>
          </w:p>
        </w:tc>
      </w:tr>
    </w:tbl>
    <w:p w14:paraId="2C6B9C35" w14:textId="77777777" w:rsidR="00334465" w:rsidRPr="007658D6" w:rsidRDefault="00582DE8" w:rsidP="00334465">
      <w:pPr>
        <w:rPr>
          <w:rFonts w:ascii="Calibri" w:hAnsi="Calibri" w:cs="Calibri"/>
        </w:rPr>
      </w:pPr>
      <w:r w:rsidRPr="007658D6">
        <w:rPr>
          <w:rFonts w:ascii="Calibri" w:hAnsi="Calibri" w:cs="Calibri"/>
        </w:rPr>
        <w:t>The bootstrap KDE and ECDF plots show the differences in success rates between the three treatments. Met has a lower success rate than Rosi by about 13.1 percentage points and Lifestyle by about 5.1 percentage points, while Rosi has a higher success rate than Lifestyle by about 7.9 percentage points. The Met vs Rosi distribution is mostly below zero, suggesting that Rosi performs better. However, the other two comparisons show more uncertainty because their distributions include both positive and negative values. The confidence intervals show that Rosi performs significantly better than Met at the 90%, 95%, and 99% confidence levels because all intervals exclude zero. For Met vs Lifestyle, all intervals include zero, showing no statistically significant difference. For Rosi vs Lifestyle, only the 90% interval excludes zero, meaning the evidence is weaker. Overall, Rosi appears to be the most effective treatment, but its advantage over Lifestyle is less certain.</w:t>
      </w:r>
    </w:p>
    <w:p w14:paraId="6F54BFC8" w14:textId="3911CEE4" w:rsidR="00334465" w:rsidRPr="007658D6" w:rsidRDefault="00582DE8" w:rsidP="007556AA">
      <w:pPr>
        <w:rPr>
          <w:rFonts w:ascii="Calibri" w:hAnsi="Calibri" w:cs="Calibri"/>
        </w:rPr>
      </w:pPr>
      <w:r w:rsidRPr="007658D6">
        <w:rPr>
          <w:rFonts w:ascii="Calibri" w:hAnsi="Calibri" w:cs="Calibri"/>
          <w:noProof/>
        </w:rPr>
        <w:lastRenderedPageBreak/>
        <w:drawing>
          <wp:inline distT="0" distB="0" distL="0" distR="0" wp14:anchorId="59AD0DBD" wp14:editId="49645FB4">
            <wp:extent cx="5943600" cy="2387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_effects.png"/>
                    <pic:cNvPicPr/>
                  </pic:nvPicPr>
                  <pic:blipFill>
                    <a:blip r:embed="rId5"/>
                    <a:stretch>
                      <a:fillRect/>
                    </a:stretch>
                  </pic:blipFill>
                  <pic:spPr>
                    <a:xfrm>
                      <a:off x="0" y="0"/>
                      <a:ext cx="5943600" cy="2387743"/>
                    </a:xfrm>
                    <a:prstGeom prst="rect">
                      <a:avLst/>
                    </a:prstGeom>
                  </pic:spPr>
                </pic:pic>
              </a:graphicData>
            </a:graphic>
          </wp:inline>
        </w:drawing>
      </w:r>
      <w:r w:rsidR="00334465" w:rsidRPr="007658D6">
        <w:rPr>
          <w:rFonts w:ascii="Calibri" w:hAnsi="Calibri" w:cs="Calibri"/>
        </w:rPr>
        <w:t xml:space="preserve">Figure 2. </w:t>
      </w:r>
      <w:r w:rsidR="007556AA" w:rsidRPr="007658D6">
        <w:rPr>
          <w:rFonts w:ascii="Calibri" w:hAnsi="Calibri" w:cs="Calibri"/>
        </w:rPr>
        <w:t>KDE and ECDF Plots of Differences Between Treatments</w:t>
      </w:r>
    </w:p>
    <w:p w14:paraId="3C54F618" w14:textId="037ED178" w:rsidR="00AC4D67" w:rsidRPr="007658D6" w:rsidRDefault="00334465" w:rsidP="00AC4D67">
      <w:pPr>
        <w:rPr>
          <w:rFonts w:ascii="Calibri" w:hAnsi="Calibri" w:cs="Calibri"/>
        </w:rPr>
      </w:pPr>
      <w:r w:rsidRPr="007658D6">
        <w:rPr>
          <w:rFonts w:ascii="Calibri" w:hAnsi="Calibri" w:cs="Calibri"/>
        </w:rPr>
        <w:t xml:space="preserve">Overall, Rosi appears to be the strongest treatment to consider adopting because it has the highest observed success rate (61.4%) and shows a statistically significant advantage over Met. Lifestyle is also a reasonable option, with a success rate of 53.4%, but there is not enough evidence at the 5% significance level to conclude that it performs differently from Rosi or Met. Met has the lowest success rate (48.3%) and performs significantly worse than Rosi, making it a less favorable choice based on effectiveness alone. However, a lack of statistical significance does not mean that two treatments are equally effective. </w:t>
      </w:r>
      <w:r w:rsidR="00AC4D67" w:rsidRPr="007658D6">
        <w:rPr>
          <w:rFonts w:ascii="Calibri" w:hAnsi="Calibri" w:cs="Calibri"/>
        </w:rPr>
        <w:t>Although Rosi shows the best results, more research with a larger sample size could help us better understand the differences between the three treatments. Other factors, such as treatment costs and safety, may also be considered before making a final decision.</w:t>
      </w:r>
    </w:p>
    <w:p w14:paraId="55F31971" w14:textId="2271C459" w:rsidR="000102B1" w:rsidRPr="007658D6" w:rsidRDefault="000102B1" w:rsidP="00AC4D67">
      <w:pPr>
        <w:rPr>
          <w:rFonts w:ascii="Calibri" w:hAnsi="Calibri" w:cs="Calibri"/>
        </w:rPr>
      </w:pPr>
    </w:p>
    <w:p w14:paraId="605B7553" w14:textId="6A23ED66" w:rsidR="000102B1" w:rsidRPr="007658D6" w:rsidRDefault="000102B1" w:rsidP="000102B1">
      <w:pPr>
        <w:rPr>
          <w:rFonts w:ascii="Calibri" w:hAnsi="Calibri" w:cs="Calibri"/>
        </w:rPr>
      </w:pPr>
    </w:p>
    <w:p w14:paraId="09A77115" w14:textId="2FB0EAD6" w:rsidR="00334465" w:rsidRPr="007658D6" w:rsidRDefault="00334465" w:rsidP="00334465">
      <w:pPr>
        <w:rPr>
          <w:rFonts w:ascii="Calibri" w:hAnsi="Calibri" w:cs="Calibri"/>
        </w:rPr>
      </w:pPr>
    </w:p>
    <w:p w14:paraId="602EBD9C" w14:textId="77777777" w:rsidR="00334465" w:rsidRPr="007658D6" w:rsidRDefault="00334465" w:rsidP="00334465">
      <w:pPr>
        <w:rPr>
          <w:rFonts w:ascii="Calibri" w:hAnsi="Calibri" w:cs="Calibri"/>
        </w:rPr>
      </w:pPr>
    </w:p>
    <w:sectPr w:rsidR="00334465" w:rsidRPr="0076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9A"/>
    <w:rsid w:val="000102B1"/>
    <w:rsid w:val="000F039A"/>
    <w:rsid w:val="00334465"/>
    <w:rsid w:val="00582DE8"/>
    <w:rsid w:val="0060006F"/>
    <w:rsid w:val="007556AA"/>
    <w:rsid w:val="007658D6"/>
    <w:rsid w:val="0082077D"/>
    <w:rsid w:val="00927AF6"/>
    <w:rsid w:val="00A75CC9"/>
    <w:rsid w:val="00AC4D67"/>
    <w:rsid w:val="00DD302B"/>
    <w:rsid w:val="00E441C9"/>
    <w:rsid w:val="00EB53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AB9B"/>
  <w15:chartTrackingRefBased/>
  <w15:docId w15:val="{924373BE-94D5-4C99-AC1B-10A170EA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39A"/>
    <w:rPr>
      <w:rFonts w:eastAsiaTheme="majorEastAsia" w:cstheme="majorBidi"/>
      <w:color w:val="272727" w:themeColor="text1" w:themeTint="D8"/>
    </w:rPr>
  </w:style>
  <w:style w:type="paragraph" w:styleId="Title">
    <w:name w:val="Title"/>
    <w:basedOn w:val="Normal"/>
    <w:next w:val="Normal"/>
    <w:link w:val="TitleChar"/>
    <w:uiPriority w:val="10"/>
    <w:qFormat/>
    <w:rsid w:val="000F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39A"/>
    <w:pPr>
      <w:spacing w:before="160"/>
      <w:jc w:val="center"/>
    </w:pPr>
    <w:rPr>
      <w:i/>
      <w:iCs/>
      <w:color w:val="404040" w:themeColor="text1" w:themeTint="BF"/>
    </w:rPr>
  </w:style>
  <w:style w:type="character" w:customStyle="1" w:styleId="QuoteChar">
    <w:name w:val="Quote Char"/>
    <w:basedOn w:val="DefaultParagraphFont"/>
    <w:link w:val="Quote"/>
    <w:uiPriority w:val="29"/>
    <w:rsid w:val="000F039A"/>
    <w:rPr>
      <w:i/>
      <w:iCs/>
      <w:color w:val="404040" w:themeColor="text1" w:themeTint="BF"/>
    </w:rPr>
  </w:style>
  <w:style w:type="paragraph" w:styleId="ListParagraph">
    <w:name w:val="List Paragraph"/>
    <w:basedOn w:val="Normal"/>
    <w:uiPriority w:val="34"/>
    <w:qFormat/>
    <w:rsid w:val="000F039A"/>
    <w:pPr>
      <w:ind w:left="720"/>
      <w:contextualSpacing/>
    </w:pPr>
  </w:style>
  <w:style w:type="character" w:styleId="IntenseEmphasis">
    <w:name w:val="Intense Emphasis"/>
    <w:basedOn w:val="DefaultParagraphFont"/>
    <w:uiPriority w:val="21"/>
    <w:qFormat/>
    <w:rsid w:val="000F039A"/>
    <w:rPr>
      <w:i/>
      <w:iCs/>
      <w:color w:val="0F4761" w:themeColor="accent1" w:themeShade="BF"/>
    </w:rPr>
  </w:style>
  <w:style w:type="paragraph" w:styleId="IntenseQuote">
    <w:name w:val="Intense Quote"/>
    <w:basedOn w:val="Normal"/>
    <w:next w:val="Normal"/>
    <w:link w:val="IntenseQuoteChar"/>
    <w:uiPriority w:val="30"/>
    <w:qFormat/>
    <w:rsid w:val="000F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39A"/>
    <w:rPr>
      <w:i/>
      <w:iCs/>
      <w:color w:val="0F4761" w:themeColor="accent1" w:themeShade="BF"/>
    </w:rPr>
  </w:style>
  <w:style w:type="character" w:styleId="IntenseReference">
    <w:name w:val="Intense Reference"/>
    <w:basedOn w:val="DefaultParagraphFont"/>
    <w:uiPriority w:val="32"/>
    <w:qFormat/>
    <w:rsid w:val="000F039A"/>
    <w:rPr>
      <w:b/>
      <w:bCs/>
      <w:smallCaps/>
      <w:color w:val="0F4761" w:themeColor="accent1" w:themeShade="BF"/>
      <w:spacing w:val="5"/>
    </w:rPr>
  </w:style>
  <w:style w:type="table" w:styleId="TableGrid">
    <w:name w:val="Table Grid"/>
    <w:basedOn w:val="TableNormal"/>
    <w:uiPriority w:val="39"/>
    <w:rsid w:val="000F039A"/>
    <w:pPr>
      <w:spacing w:after="0" w:line="240" w:lineRule="auto"/>
      <w:jc w:val="both"/>
    </w:pPr>
    <w:rPr>
      <w:rFonts w:ascii="Calibri" w:hAnsi="Calibri" w:cs="Calibr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02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Somaya Ahmadi</dc:creator>
  <cp:keywords/>
  <dc:description/>
  <cp:lastModifiedBy>Somaya Ahmadi</cp:lastModifiedBy>
  <cp:revision>9</cp:revision>
  <dcterms:created xsi:type="dcterms:W3CDTF">2026-10-14T20:16:00Z</dcterms:created>
  <dcterms:modified xsi:type="dcterms:W3CDTF">2026-10-15T16:18:00Z</dcterms:modified>
</cp:coreProperties>
</file>