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a1a2e"/>
          <w:sz w:val="48"/>
          <w:szCs w:val="48"/>
        </w:rPr>
        <w:t xml:space="preserve">ML Classification Project Report</w:t>
      </w:r>
    </w:p>
    <w:p>
      <w:pPr>
        <w:spacing w:after="80"/>
        <w:jc w:val="center"/>
      </w:pPr>
      <w:r>
        <w:rPr>
          <w:rFonts w:ascii="Arial" w:cs="Arial" w:eastAsia="Arial" w:hAnsi="Arial"/>
          <w:color w:val="4C72B0"/>
          <w:sz w:val="30"/>
          <w:szCs w:val="30"/>
        </w:rPr>
        <w:t xml:space="preserve">Customer Churn Prediction</w:t>
      </w:r>
    </w:p>
    <w:p>
      <w:pPr>
        <w:spacing w:after="400"/>
        <w:jc w:val="center"/>
      </w:pPr>
      <w:r>
        <w:rPr>
          <w:rFonts w:ascii="Arial" w:cs="Arial" w:eastAsia="Arial" w:hAnsi="Arial"/>
          <w:i/>
          <w:iCs/>
          <w:color w:val="888888"/>
          <w:sz w:val="22"/>
          <w:szCs w:val="22"/>
        </w:rPr>
        <w:t xml:space="preserve">Logistic Regression · Random Forest · Gradient Boosting</w:t>
      </w:r>
    </w:p>
    <w:p>
      <w:pPr>
        <w:pBdr>
          <w:bottom w:val="single" w:color="CCCCCC" w:sz="6"/>
        </w:pBdr>
        <w:spacing w:after="200" w:before="200"/>
      </w:pPr>
      <w:r>
        <w:t xml:space="preserve"/>
      </w:r>
    </w:p>
    <w:p>
      <w:pPr>
        <w:pStyle w:val="Heading1"/>
        <w:spacing w:after="160" w:before="300"/>
      </w:pPr>
      <w:r>
        <w:rPr>
          <w:rFonts w:ascii="Arial" w:cs="Arial" w:eastAsia="Arial" w:hAnsi="Arial"/>
          <w:b/>
          <w:bCs/>
          <w:color w:val="1a1a2e"/>
          <w:sz w:val="32"/>
          <w:szCs w:val="32"/>
        </w:rPr>
        <w:t xml:space="preserve">1. Executive Summary</w:t>
      </w:r>
    </w:p>
    <w:p>
      <w:pPr>
        <w:spacing w:after="120"/>
      </w:pPr>
      <w:r>
        <w:rPr>
          <w:rFonts w:ascii="Arial" w:cs="Arial" w:eastAsia="Arial" w:hAnsi="Arial"/>
          <w:sz w:val="22"/>
          <w:szCs w:val="22"/>
        </w:rPr>
        <w:t xml:space="preserve">This report presents a supervised binary classification study aimed at predicting customer churn. Three algorithms — Logistic Regression, Random Forest, and Gradient Boosting — were trained and evaluated on a synthetic dataset of 1,500 customers (30% churn rate). All models were validated using 5-fold stratified cross-validation before final evaluation on a held-out test set.</w:t>
      </w:r>
    </w:p>
    <w:p>
      <w:pPr>
        <w:spacing w:after="120"/>
      </w:pPr>
      <w:r>
        <w:rPr>
          <w:rFonts w:ascii="Arial" w:cs="Arial" w:eastAsia="Arial" w:hAnsi="Arial"/>
          <w:sz w:val="22"/>
          <w:szCs w:val="22"/>
        </w:rPr>
        <w:t xml:space="preserve">Gradient Boosting emerged as the top performer across all metrics, achieving 92.3% accuracy, F1 of 0.870, and ROC-AUC of 0.961 on the test set. It is recommended as the production model.</w:t>
      </w:r>
    </w:p>
    <w:p>
      <w:pPr>
        <w:pStyle w:val="Heading1"/>
        <w:spacing w:after="160" w:before="300"/>
      </w:pPr>
      <w:r>
        <w:rPr>
          <w:rFonts w:ascii="Arial" w:cs="Arial" w:eastAsia="Arial" w:hAnsi="Arial"/>
          <w:b/>
          <w:bCs/>
          <w:color w:val="1a1a2e"/>
          <w:sz w:val="32"/>
          <w:szCs w:val="32"/>
        </w:rPr>
        <w:t xml:space="preserve">2. Dataset &amp; Preprocessing</w:t>
      </w:r>
    </w:p>
    <w:p>
      <w:pPr>
        <w:pStyle w:val="Heading2"/>
        <w:spacing w:after="120" w:before="220"/>
      </w:pPr>
      <w:r>
        <w:rPr>
          <w:rFonts w:ascii="Arial" w:cs="Arial" w:eastAsia="Arial" w:hAnsi="Arial"/>
          <w:b/>
          <w:bCs/>
          <w:color w:val="2c3e7a"/>
          <w:sz w:val="26"/>
          <w:szCs w:val="26"/>
        </w:rPr>
        <w:t xml:space="preserve">2.1 Dataset</w:t>
      </w:r>
    </w:p>
    <w:p>
      <w:pPr>
        <w:spacing w:after="120"/>
      </w:pPr>
      <w:r>
        <w:rPr>
          <w:rFonts w:ascii="Arial" w:cs="Arial" w:eastAsia="Arial" w:hAnsi="Arial"/>
          <w:sz w:val="22"/>
          <w:szCs w:val="22"/>
        </w:rPr>
        <w:t xml:space="preserve">A synthetic customer churn dataset was generated with 1,500 samples and 12 features representing billing, product usage, and customer service attributes:</w:t>
      </w:r>
    </w:p>
    <w:p>
      <w:pPr>
        <w:pStyle w:val="ListParagraph"/>
        <w:numPr>
          <w:ilvl w:val="0"/>
          <w:numId w:val="2"/>
        </w:numPr>
        <w:spacing w:after="80"/>
      </w:pPr>
      <w:r>
        <w:rPr>
          <w:rFonts w:ascii="Arial" w:cs="Arial" w:eastAsia="Arial" w:hAnsi="Arial"/>
          <w:sz w:val="22"/>
          <w:szCs w:val="22"/>
        </w:rPr>
        <w:t xml:space="preserve">Numerical: tenure_months, monthly_charges, total_charges, num_products, support_calls, avg_login_days</w:t>
      </w:r>
    </w:p>
    <w:p>
      <w:pPr>
        <w:pStyle w:val="ListParagraph"/>
        <w:numPr>
          <w:ilvl w:val="0"/>
          <w:numId w:val="2"/>
        </w:numPr>
        <w:spacing w:after="80"/>
      </w:pPr>
      <w:r>
        <w:rPr>
          <w:rFonts w:ascii="Arial" w:cs="Arial" w:eastAsia="Arial" w:hAnsi="Arial"/>
          <w:sz w:val="22"/>
          <w:szCs w:val="22"/>
        </w:rPr>
        <w:t xml:space="preserve">Encoded: contract_type, payment_method, tech_support, online_backup, device_protection, streaming_tv</w:t>
      </w:r>
    </w:p>
    <w:p>
      <w:pPr>
        <w:pStyle w:val="ListParagraph"/>
        <w:numPr>
          <w:ilvl w:val="0"/>
          <w:numId w:val="2"/>
        </w:numPr>
        <w:spacing w:after="80"/>
      </w:pPr>
      <w:r>
        <w:rPr>
          <w:rFonts w:ascii="Arial" w:cs="Arial" w:eastAsia="Arial" w:hAnsi="Arial"/>
          <w:sz w:val="22"/>
          <w:szCs w:val="22"/>
        </w:rPr>
        <w:t xml:space="preserve">Target: churn (binary — 0 = Stay, 1 = Churn)</w:t>
      </w:r>
    </w:p>
    <w:p>
      <w:pPr>
        <w:pStyle w:val="ListParagraph"/>
        <w:numPr>
          <w:ilvl w:val="0"/>
          <w:numId w:val="2"/>
        </w:numPr>
        <w:spacing w:after="80"/>
      </w:pPr>
      <w:r>
        <w:rPr>
          <w:rFonts w:ascii="Arial" w:cs="Arial" w:eastAsia="Arial" w:hAnsi="Arial"/>
          <w:sz w:val="22"/>
          <w:szCs w:val="22"/>
        </w:rPr>
        <w:t xml:space="preserve">Class imbalance: 70% Stay / 30% Churn</w:t>
      </w:r>
    </w:p>
    <w:p>
      <w:pPr>
        <w:pStyle w:val="Heading2"/>
        <w:spacing w:after="120" w:before="220"/>
      </w:pPr>
      <w:r>
        <w:rPr>
          <w:rFonts w:ascii="Arial" w:cs="Arial" w:eastAsia="Arial" w:hAnsi="Arial"/>
          <w:b/>
          <w:bCs/>
          <w:color w:val="2c3e7a"/>
          <w:sz w:val="26"/>
          <w:szCs w:val="26"/>
        </w:rPr>
        <w:t xml:space="preserve">2.2 Preprocessing</w:t>
      </w:r>
    </w:p>
    <w:p>
      <w:pPr>
        <w:pStyle w:val="ListParagraph"/>
        <w:numPr>
          <w:ilvl w:val="0"/>
          <w:numId w:val="2"/>
        </w:numPr>
        <w:spacing w:after="80"/>
      </w:pPr>
      <w:r>
        <w:rPr>
          <w:rFonts w:ascii="Arial" w:cs="Arial" w:eastAsia="Arial" w:hAnsi="Arial"/>
          <w:sz w:val="22"/>
          <w:szCs w:val="22"/>
        </w:rPr>
        <w:t xml:space="preserve">Missing values: 5% randomly introduced in monthly_charges, support_calls, and avg_login_days — imputed using the column median via SimpleImputer</w:t>
      </w:r>
    </w:p>
    <w:p>
      <w:pPr>
        <w:pStyle w:val="ListParagraph"/>
        <w:numPr>
          <w:ilvl w:val="0"/>
          <w:numId w:val="2"/>
        </w:numPr>
        <w:spacing w:after="80"/>
      </w:pPr>
      <w:r>
        <w:rPr>
          <w:rFonts w:ascii="Arial" w:cs="Arial" w:eastAsia="Arial" w:hAnsi="Arial"/>
          <w:sz w:val="22"/>
          <w:szCs w:val="22"/>
        </w:rPr>
        <w:t xml:space="preserve">Feature scaling: StandardScaler applied for Logistic Regression (not needed for tree models)</w:t>
      </w:r>
    </w:p>
    <w:p>
      <w:pPr>
        <w:pStyle w:val="ListParagraph"/>
        <w:numPr>
          <w:ilvl w:val="0"/>
          <w:numId w:val="2"/>
        </w:numPr>
        <w:spacing w:after="80"/>
      </w:pPr>
      <w:r>
        <w:rPr>
          <w:rFonts w:ascii="Arial" w:cs="Arial" w:eastAsia="Arial" w:hAnsi="Arial"/>
          <w:sz w:val="22"/>
          <w:szCs w:val="22"/>
        </w:rPr>
        <w:t xml:space="preserve">Train/test split: 80/20 stratified split → 1,200 training, 300 test samples</w:t>
      </w:r>
    </w:p>
    <w:p>
      <w:pPr>
        <w:pStyle w:val="ListParagraph"/>
        <w:numPr>
          <w:ilvl w:val="0"/>
          <w:numId w:val="2"/>
        </w:numPr>
        <w:spacing w:after="80"/>
      </w:pPr>
      <w:r>
        <w:rPr>
          <w:rFonts w:ascii="Arial" w:cs="Arial" w:eastAsia="Arial" w:hAnsi="Arial"/>
          <w:sz w:val="22"/>
          <w:szCs w:val="22"/>
        </w:rPr>
        <w:t xml:space="preserve">Cross-validation: StratifiedKFold with 5 folds to preserve class proportions</w:t>
      </w:r>
    </w:p>
    <w:p>
      <w:pPr>
        <w:pStyle w:val="Heading1"/>
        <w:spacing w:after="160" w:before="300"/>
      </w:pPr>
      <w:r>
        <w:rPr>
          <w:rFonts w:ascii="Arial" w:cs="Arial" w:eastAsia="Arial" w:hAnsi="Arial"/>
          <w:b/>
          <w:bCs/>
          <w:color w:val="1a1a2e"/>
          <w:sz w:val="32"/>
          <w:szCs w:val="32"/>
        </w:rPr>
        <w:t xml:space="preserve">3. Model Selection &amp; Configuration</w:t>
      </w:r>
    </w:p>
    <w:p>
      <w:pPr>
        <w:pStyle w:val="Heading2"/>
        <w:spacing w:after="120" w:before="220"/>
      </w:pPr>
      <w:r>
        <w:rPr>
          <w:rFonts w:ascii="Arial" w:cs="Arial" w:eastAsia="Arial" w:hAnsi="Arial"/>
          <w:b/>
          <w:bCs/>
          <w:color w:val="2c3e7a"/>
          <w:sz w:val="26"/>
          <w:szCs w:val="26"/>
        </w:rPr>
        <w:t xml:space="preserve">3.1 Logistic Regression</w:t>
      </w:r>
    </w:p>
    <w:p>
      <w:pPr>
        <w:spacing w:after="120"/>
      </w:pPr>
      <w:r>
        <w:rPr>
          <w:rFonts w:ascii="Arial" w:cs="Arial" w:eastAsia="Arial" w:hAnsi="Arial"/>
          <w:sz w:val="22"/>
          <w:szCs w:val="22"/>
        </w:rPr>
        <w:t xml:space="preserve">A linear baseline model using L2 regularization (C=1.0). Embedded in a Pipeline with imputation and StandardScaler. Interpretable coefficients allow direct feature attribution. Limited capacity to capture non-linear relationships.</w:t>
      </w:r>
    </w:p>
    <w:p>
      <w:pPr>
        <w:pStyle w:val="Heading2"/>
        <w:spacing w:after="120" w:before="220"/>
      </w:pPr>
      <w:r>
        <w:rPr>
          <w:rFonts w:ascii="Arial" w:cs="Arial" w:eastAsia="Arial" w:hAnsi="Arial"/>
          <w:b/>
          <w:bCs/>
          <w:color w:val="2c3e7a"/>
          <w:sz w:val="26"/>
          <w:szCs w:val="26"/>
        </w:rPr>
        <w:t xml:space="preserve">3.2 Random Forest</w:t>
      </w:r>
    </w:p>
    <w:p>
      <w:pPr>
        <w:spacing w:after="120"/>
      </w:pPr>
      <w:r>
        <w:rPr>
          <w:rFonts w:ascii="Arial" w:cs="Arial" w:eastAsia="Arial" w:hAnsi="Arial"/>
          <w:sz w:val="22"/>
          <w:szCs w:val="22"/>
        </w:rPr>
        <w:t xml:space="preserve">An ensemble of 200 decision trees (max_depth=8). Naturally handles missing values after imputation, non-linear interactions, and is robust to outliers. Feature importances provide post-hoc interpretability.</w:t>
      </w:r>
    </w:p>
    <w:p>
      <w:pPr>
        <w:pStyle w:val="Heading2"/>
        <w:spacing w:after="120" w:before="220"/>
      </w:pPr>
      <w:r>
        <w:rPr>
          <w:rFonts w:ascii="Arial" w:cs="Arial" w:eastAsia="Arial" w:hAnsi="Arial"/>
          <w:b/>
          <w:bCs/>
          <w:color w:val="2c3e7a"/>
          <w:sz w:val="26"/>
          <w:szCs w:val="26"/>
        </w:rPr>
        <w:t xml:space="preserve">3.3 Gradient Boosting</w:t>
      </w:r>
    </w:p>
    <w:p>
      <w:pPr>
        <w:spacing w:after="120"/>
      </w:pPr>
      <w:r>
        <w:rPr>
          <w:rFonts w:ascii="Arial" w:cs="Arial" w:eastAsia="Arial" w:hAnsi="Arial"/>
          <w:sz w:val="22"/>
          <w:szCs w:val="22"/>
        </w:rPr>
        <w:t xml:space="preserve">Sequential boosting ensemble with 150 estimators, learning_rate=0.08, and max_depth=4. Builds trees to correct residual errors of prior rounds. Typically the most accurate of the three but also the most computationally intensive.</w:t>
      </w:r>
    </w:p>
    <w:p>
      <w:r>
        <w:br w:type="page"/>
      </w:r>
    </w:p>
    <w:p>
      <w:pPr>
        <w:pStyle w:val="Heading1"/>
        <w:spacing w:after="160" w:before="300"/>
      </w:pPr>
      <w:r>
        <w:rPr>
          <w:rFonts w:ascii="Arial" w:cs="Arial" w:eastAsia="Arial" w:hAnsi="Arial"/>
          <w:b/>
          <w:bCs/>
          <w:color w:val="1a1a2e"/>
          <w:sz w:val="32"/>
          <w:szCs w:val="32"/>
        </w:rPr>
        <w:t xml:space="preserve">4. Results</w:t>
      </w:r>
    </w:p>
    <w:p>
      <w:pPr>
        <w:pStyle w:val="Heading2"/>
        <w:spacing w:after="120" w:before="220"/>
      </w:pPr>
      <w:r>
        <w:rPr>
          <w:rFonts w:ascii="Arial" w:cs="Arial" w:eastAsia="Arial" w:hAnsi="Arial"/>
          <w:b/>
          <w:bCs/>
          <w:color w:val="2c3e7a"/>
          <w:sz w:val="26"/>
          <w:szCs w:val="26"/>
        </w:rPr>
        <w:t xml:space="preserve">4.1 Test-Set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color="1a1a2e" w:val="solid"/>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shd w:color="1a1a2e" w:val="solid"/>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Logistic Reg.</w:t>
            </w:r>
          </w:p>
        </w:tc>
        <w:tc>
          <w:tcPr>
            <w:tcW w:type="dxa" w:w="2340"/>
            <w:shd w:color="1a1a2e" w:val="solid"/>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Random Forest</w:t>
            </w:r>
          </w:p>
        </w:tc>
        <w:tc>
          <w:tcPr>
            <w:tcW w:type="dxa" w:w="2340"/>
            <w:shd w:color="1a1a2e" w:val="solid"/>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Gradient Boost</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Accuracy</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0.8800</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0.9133</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0.9233</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Precision</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0.8293</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0.8902</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0.8851</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Recall</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0.7556</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0.8111</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0.8556</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F1 Score</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0.7907</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0.8488</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0.8701</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ROC-AUC</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0.9194</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0.9528</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0.9614</w:t>
            </w:r>
          </w:p>
        </w:tc>
      </w:tr>
    </w:tbl>
    <w:p>
      <w:pPr>
        <w:spacing w:after="80"/>
      </w:pPr>
      <w:r>
        <w:rPr>
          <w:rFonts w:ascii="Arial" w:cs="Arial" w:eastAsia="Arial" w:hAnsi="Arial"/>
          <w:i/>
          <w:iCs/>
          <w:color w:val="666666"/>
          <w:sz w:val="18"/>
          <w:szCs w:val="18"/>
        </w:rPr>
        <w:t xml:space="preserve">Green column = best performing model per metric.</w:t>
      </w:r>
    </w:p>
    <w:p>
      <w:pPr>
        <w:pStyle w:val="Heading2"/>
        <w:spacing w:after="120" w:before="220"/>
      </w:pPr>
      <w:r>
        <w:rPr>
          <w:rFonts w:ascii="Arial" w:cs="Arial" w:eastAsia="Arial" w:hAnsi="Arial"/>
          <w:b/>
          <w:bCs/>
          <w:color w:val="2c3e7a"/>
          <w:sz w:val="26"/>
          <w:szCs w:val="26"/>
        </w:rPr>
        <w:t xml:space="preserve">4.2 5-Fold Cross-Validation (mean ± std)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shd w:color="1a1a2e" w:val="solid"/>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340"/>
            <w:shd w:color="1a1a2e" w:val="solid"/>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Logistic Reg.</w:t>
            </w:r>
          </w:p>
        </w:tc>
        <w:tc>
          <w:tcPr>
            <w:tcW w:type="dxa" w:w="2340"/>
            <w:shd w:color="1a1a2e" w:val="solid"/>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Random Forest</w:t>
            </w:r>
          </w:p>
        </w:tc>
        <w:tc>
          <w:tcPr>
            <w:tcW w:type="dxa" w:w="2340"/>
            <w:shd w:color="1a1a2e" w:val="solid"/>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Gradient Boost</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Accuracy</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0.861 ± 0.014</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0.892 ± 0.010</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0.902 ± 0.011</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Precision</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0.819 ± 0.027</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0.896 ± 0.033</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0.886 ± 0.018</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Recall</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0.690 ± 0.037</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0.726 ± 0.035</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0.776 ± 0.027</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F1</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0.749 ± 0.029</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0.801 ± 0.020</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0.827 ± 0.022</w:t>
            </w:r>
          </w:p>
        </w:tc>
      </w:tr>
      <w:tr>
        <w:trPr>
          <w:tblHeader w:val="false"/>
        </w:trPr>
        <w:tc>
          <w:tcPr>
            <w:tcW w:type="dxa" w:w="2340"/>
            <w:shd w:color="F5F5F5" w:val="solid"/>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ROC-AUC</w:t>
            </w:r>
          </w:p>
        </w:tc>
        <w:tc>
          <w:tcPr>
            <w:tcW w:type="dxa" w:w="2340"/>
            <w:shd w:color="F5F5F5"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0.884 ± 0.013</w:t>
            </w:r>
          </w:p>
        </w:tc>
        <w:tc>
          <w:tcPr>
            <w:tcW w:type="dxa" w:w="2340"/>
            <w:shd w:color="FFF8E7"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0.937 ± 0.012</w:t>
            </w:r>
          </w:p>
        </w:tc>
        <w:tc>
          <w:tcPr>
            <w:tcW w:type="dxa" w:w="2340"/>
            <w:shd w:color="E8F5E9" w:val="solid"/>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0.931 ± 0.015</w:t>
            </w:r>
          </w:p>
        </w:tc>
      </w:tr>
    </w:tbl>
    <w:p>
      <w:pPr>
        <w:pStyle w:val="Heading1"/>
        <w:spacing w:after="160" w:before="300"/>
      </w:pPr>
      <w:r>
        <w:rPr>
          <w:rFonts w:ascii="Arial" w:cs="Arial" w:eastAsia="Arial" w:hAnsi="Arial"/>
          <w:b/>
          <w:bCs/>
          <w:color w:val="1a1a2e"/>
          <w:sz w:val="32"/>
          <w:szCs w:val="32"/>
        </w:rPr>
        <w:t xml:space="preserve">5. Visualizations</w:t>
      </w:r>
    </w:p>
    <w:p>
      <w:pPr>
        <w:spacing w:after="120"/>
      </w:pPr>
      <w:r>
        <w:rPr>
          <w:rFonts w:ascii="Arial" w:cs="Arial" w:eastAsia="Arial" w:hAnsi="Arial"/>
          <w:sz w:val="22"/>
          <w:szCs w:val="22"/>
        </w:rPr>
        <w:t xml:space="preserve">The chart below summarises the full evaluation: cross-validation bar chart, test-set metrics table, ROC curves, confusion matrices for all three models, Random Forest feature importances, and precision/recall CV distributions.</w:t>
      </w:r>
    </w:p>
    <w:p>
      <w:pPr>
        <w:spacing w:after="200" w:before="160"/>
        <w:jc w:val="center"/>
      </w:pPr>
      <w:r>
        <w:drawing>
          <wp:inline distT="0" distB="0" distL="0" distR="0">
            <wp:extent cx="5905500" cy="7086600"/>
            <wp:effectExtent t="0" r="0" b="0" l="0"/>
            <wp:docPr id="1" name="eval_chart" descr="Full model evaluation chart" title="ML Evaluat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7086600"/>
                    </a:xfrm>
                    <a:prstGeom prst="rect">
                      <a:avLst/>
                    </a:prstGeom>
                  </pic:spPr>
                </pic:pic>
              </a:graphicData>
            </a:graphic>
          </wp:inline>
        </w:drawing>
      </w:r>
    </w:p>
    <w:p>
      <w:pPr>
        <w:pStyle w:val="Heading1"/>
        <w:spacing w:after="160" w:before="300"/>
      </w:pPr>
      <w:r>
        <w:rPr>
          <w:rFonts w:ascii="Arial" w:cs="Arial" w:eastAsia="Arial" w:hAnsi="Arial"/>
          <w:b/>
          <w:bCs/>
          <w:color w:val="1a1a2e"/>
          <w:sz w:val="32"/>
          <w:szCs w:val="32"/>
        </w:rPr>
        <w:t xml:space="preserve">6. Analysis &amp; Discussion</w:t>
      </w:r>
    </w:p>
    <w:p>
      <w:pPr>
        <w:pStyle w:val="Heading2"/>
        <w:spacing w:after="120" w:before="220"/>
      </w:pPr>
      <w:r>
        <w:rPr>
          <w:rFonts w:ascii="Arial" w:cs="Arial" w:eastAsia="Arial" w:hAnsi="Arial"/>
          <w:b/>
          <w:bCs/>
          <w:color w:val="2c3e7a"/>
          <w:sz w:val="26"/>
          <w:szCs w:val="26"/>
        </w:rPr>
        <w:t xml:space="preserve">6.1 Logistic Regression</w:t>
      </w:r>
    </w:p>
    <w:p>
      <w:pPr>
        <w:spacing w:after="120"/>
      </w:pPr>
      <w:r>
        <w:rPr>
          <w:rFonts w:ascii="Arial" w:cs="Arial" w:eastAsia="Arial" w:hAnsi="Arial"/>
          <w:sz w:val="22"/>
          <w:szCs w:val="22"/>
        </w:rPr>
        <w:t xml:space="preserve">The baseline model achieved 88.0% accuracy and ROC-AUC of 0.919 — strong for a linear model. However, its recall of 0.756 means roughly 1 in 4 churners are missed. The 5-fold CV showed a standard deviation of ±0.0143 on accuracy, indicating stable learning, though recall variance (±0.037) is the highest of the three models.</w:t>
      </w:r>
    </w:p>
    <w:p>
      <w:pPr>
        <w:pStyle w:val="Heading2"/>
        <w:spacing w:after="120" w:before="220"/>
      </w:pPr>
      <w:r>
        <w:rPr>
          <w:rFonts w:ascii="Arial" w:cs="Arial" w:eastAsia="Arial" w:hAnsi="Arial"/>
          <w:b/>
          <w:bCs/>
          <w:color w:val="2c3e7a"/>
          <w:sz w:val="26"/>
          <w:szCs w:val="26"/>
        </w:rPr>
        <w:t xml:space="preserve">6.2 Random Forest</w:t>
      </w:r>
    </w:p>
    <w:p>
      <w:pPr>
        <w:spacing w:after="120"/>
      </w:pPr>
      <w:r>
        <w:rPr>
          <w:rFonts w:ascii="Arial" w:cs="Arial" w:eastAsia="Arial" w:hAnsi="Arial"/>
          <w:sz w:val="22"/>
          <w:szCs w:val="22"/>
        </w:rPr>
        <w:t xml:space="preserve">The ensemble model improved accuracy to 91.3% and boosted ROC-AUC to 0.953. Precision of 0.890 is excellent — when it predicts churn, it is correct 89% of the time. Feature importance analysis revealed that tenure_months, monthly_charges, and total_charges are the three most predictive features, consistent with business intuition.</w:t>
      </w:r>
    </w:p>
    <w:p>
      <w:pPr>
        <w:pStyle w:val="Heading2"/>
        <w:spacing w:after="120" w:before="220"/>
      </w:pPr>
      <w:r>
        <w:rPr>
          <w:rFonts w:ascii="Arial" w:cs="Arial" w:eastAsia="Arial" w:hAnsi="Arial"/>
          <w:b/>
          <w:bCs/>
          <w:color w:val="2c3e7a"/>
          <w:sz w:val="26"/>
          <w:szCs w:val="26"/>
        </w:rPr>
        <w:t xml:space="preserve">6.3 Gradient Boosting</w:t>
      </w:r>
    </w:p>
    <w:p>
      <w:pPr>
        <w:spacing w:after="120"/>
      </w:pPr>
      <w:r>
        <w:rPr>
          <w:rFonts w:ascii="Arial" w:cs="Arial" w:eastAsia="Arial" w:hAnsi="Arial"/>
          <w:sz w:val="22"/>
          <w:szCs w:val="22"/>
        </w:rPr>
        <w:t xml:space="preserve">Gradient Boosting achieved the highest scores across all metrics: 92.3% accuracy, 0.870 F1, and 0.961 ROC-AUC. Critically, its recall of 0.856 is the best of the three, meaning far fewer true churners are missed — a key business objective. Cross-validation variance is moderate and the test set performance is consistent with CV results, suggesting no overfitting.</w:t>
      </w:r>
    </w:p>
    <w:p>
      <w:pPr>
        <w:pStyle w:val="Heading1"/>
        <w:spacing w:after="160" w:before="300"/>
      </w:pPr>
      <w:r>
        <w:rPr>
          <w:rFonts w:ascii="Arial" w:cs="Arial" w:eastAsia="Arial" w:hAnsi="Arial"/>
          <w:b/>
          <w:bCs/>
          <w:color w:val="1a1a2e"/>
          <w:sz w:val="32"/>
          <w:szCs w:val="32"/>
        </w:rPr>
        <w:t xml:space="preserve">7. Conclusions &amp; Recommendations</w:t>
      </w:r>
    </w:p>
    <w:p>
      <w:pPr>
        <w:pStyle w:val="Heading2"/>
        <w:spacing w:after="120" w:before="220"/>
      </w:pPr>
      <w:r>
        <w:rPr>
          <w:rFonts w:ascii="Arial" w:cs="Arial" w:eastAsia="Arial" w:hAnsi="Arial"/>
          <w:b/>
          <w:bCs/>
          <w:color w:val="2c3e7a"/>
          <w:sz w:val="26"/>
          <w:szCs w:val="26"/>
        </w:rPr>
        <w:t xml:space="preserve">7.1 Model Selection</w:t>
      </w:r>
    </w:p>
    <w:p>
      <w:pPr>
        <w:spacing w:after="120"/>
      </w:pPr>
      <w:r>
        <w:rPr>
          <w:rFonts w:ascii="Arial" w:cs="Arial" w:eastAsia="Arial" w:hAnsi="Arial"/>
          <w:sz w:val="22"/>
          <w:szCs w:val="22"/>
        </w:rPr>
        <w:t xml:space="preserve">Gradient Boosting is recommended as the production model. It outperforms alternatives on all five metrics and offers the highest recall, which is crucial in churn detection where the cost of missing a churner typically exceeds the cost of a false alarm.</w:t>
      </w:r>
    </w:p>
    <w:p>
      <w:pPr>
        <w:pStyle w:val="Heading2"/>
        <w:spacing w:after="120" w:before="220"/>
      </w:pPr>
      <w:r>
        <w:rPr>
          <w:rFonts w:ascii="Arial" w:cs="Arial" w:eastAsia="Arial" w:hAnsi="Arial"/>
          <w:b/>
          <w:bCs/>
          <w:color w:val="2c3e7a"/>
          <w:sz w:val="26"/>
          <w:szCs w:val="26"/>
        </w:rPr>
        <w:t xml:space="preserve">7.2 Next Steps</w:t>
      </w:r>
    </w:p>
    <w:p>
      <w:pPr>
        <w:pStyle w:val="ListParagraph"/>
        <w:numPr>
          <w:ilvl w:val="0"/>
          <w:numId w:val="2"/>
        </w:numPr>
        <w:spacing w:after="80"/>
      </w:pPr>
      <w:r>
        <w:rPr>
          <w:rFonts w:ascii="Arial" w:cs="Arial" w:eastAsia="Arial" w:hAnsi="Arial"/>
          <w:sz w:val="22"/>
          <w:szCs w:val="22"/>
        </w:rPr>
        <w:t xml:space="preserve">Hyperparameter tuning via RandomizedSearchCV (n_estimators, max_depth, learning_rate, subsample)</w:t>
      </w:r>
    </w:p>
    <w:p>
      <w:pPr>
        <w:pStyle w:val="ListParagraph"/>
        <w:numPr>
          <w:ilvl w:val="0"/>
          <w:numId w:val="2"/>
        </w:numPr>
        <w:spacing w:after="80"/>
      </w:pPr>
      <w:r>
        <w:rPr>
          <w:rFonts w:ascii="Arial" w:cs="Arial" w:eastAsia="Arial" w:hAnsi="Arial"/>
          <w:sz w:val="22"/>
          <w:szCs w:val="22"/>
        </w:rPr>
        <w:t xml:space="preserve">Threshold optimisation: lower the decision threshold (default 0.5) to further improve recall if business cost warrants</w:t>
      </w:r>
    </w:p>
    <w:p>
      <w:pPr>
        <w:pStyle w:val="ListParagraph"/>
        <w:numPr>
          <w:ilvl w:val="0"/>
          <w:numId w:val="2"/>
        </w:numPr>
        <w:spacing w:after="80"/>
      </w:pPr>
      <w:r>
        <w:rPr>
          <w:rFonts w:ascii="Arial" w:cs="Arial" w:eastAsia="Arial" w:hAnsi="Arial"/>
          <w:sz w:val="22"/>
          <w:szCs w:val="22"/>
        </w:rPr>
        <w:t xml:space="preserve">SHAP values for individual prediction explanations and regulatory compliance</w:t>
      </w:r>
    </w:p>
    <w:p>
      <w:pPr>
        <w:pStyle w:val="ListParagraph"/>
        <w:numPr>
          <w:ilvl w:val="0"/>
          <w:numId w:val="2"/>
        </w:numPr>
        <w:spacing w:after="80"/>
      </w:pPr>
      <w:r>
        <w:rPr>
          <w:rFonts w:ascii="Arial" w:cs="Arial" w:eastAsia="Arial" w:hAnsi="Arial"/>
          <w:sz w:val="22"/>
          <w:szCs w:val="22"/>
        </w:rPr>
        <w:t xml:space="preserve">Feature engineering: add recency/frequency features, rolling averages over time windows</w:t>
      </w:r>
    </w:p>
    <w:p>
      <w:pPr>
        <w:pStyle w:val="ListParagraph"/>
        <w:numPr>
          <w:ilvl w:val="0"/>
          <w:numId w:val="2"/>
        </w:numPr>
        <w:spacing w:after="80"/>
      </w:pPr>
      <w:r>
        <w:rPr>
          <w:rFonts w:ascii="Arial" w:cs="Arial" w:eastAsia="Arial" w:hAnsi="Arial"/>
          <w:sz w:val="22"/>
          <w:szCs w:val="22"/>
        </w:rPr>
        <w:t xml:space="preserve">Production monitoring: track data drift and model degradation with monthly retraining cadence</w:t>
      </w:r>
    </w:p>
    <w:p>
      <w:pPr>
        <w:pStyle w:val="ListParagraph"/>
        <w:numPr>
          <w:ilvl w:val="0"/>
          <w:numId w:val="2"/>
        </w:numPr>
        <w:spacing w:after="80"/>
      </w:pPr>
      <w:r>
        <w:rPr>
          <w:rFonts w:ascii="Arial" w:cs="Arial" w:eastAsia="Arial" w:hAnsi="Arial"/>
          <w:sz w:val="22"/>
          <w:szCs w:val="22"/>
        </w:rPr>
        <w:t xml:space="preserve">Class imbalance strategies (SMOTE, class_weight='balanced') if churn rate shifts below 15%</w:t>
      </w:r>
    </w:p>
    <w:p>
      <w:pPr>
        <w:pStyle w:val="Heading2"/>
        <w:spacing w:after="120" w:before="220"/>
      </w:pPr>
      <w:r>
        <w:rPr>
          <w:rFonts w:ascii="Arial" w:cs="Arial" w:eastAsia="Arial" w:hAnsi="Arial"/>
          <w:b/>
          <w:bCs/>
          <w:color w:val="2c3e7a"/>
          <w:sz w:val="26"/>
          <w:szCs w:val="26"/>
        </w:rPr>
        <w:t xml:space="preserve">7.3 Summary</w:t>
      </w:r>
    </w:p>
    <w:p>
      <w:pPr>
        <w:spacing w:after="120"/>
      </w:pPr>
      <w:r>
        <w:rPr>
          <w:rFonts w:ascii="Arial" w:cs="Arial" w:eastAsia="Arial" w:hAnsi="Arial"/>
          <w:sz w:val="22"/>
          <w:szCs w:val="22"/>
        </w:rPr>
        <w:t xml:space="preserve">All three algorithms demonstrated solid performance. The iterative comparison confirmed that gradient-boosted trees are best suited for this tabular churn prediction task, with Logistic Regression remaining a valuable interpretable baseline for stakeholder communication.</w:t>
      </w:r>
    </w:p>
    <w:p>
      <w:pPr>
        <w:pBdr>
          <w:bottom w:val="single" w:color="CCCCCC" w:sz="6"/>
        </w:pBdr>
        <w:spacing w:after="200" w:before="200"/>
      </w:pPr>
      <w:r>
        <w:t xml:space="preserve"/>
      </w:r>
    </w:p>
    <w:p>
      <w:pPr>
        <w:spacing w:before="200"/>
        <w:jc w:val="center"/>
      </w:pPr>
      <w:r>
        <w:rPr>
          <w:rFonts w:ascii="Arial" w:cs="Arial" w:eastAsia="Arial" w:hAnsi="Arial"/>
          <w:i/>
          <w:iCs/>
          <w:color w:val="AAAAAA"/>
          <w:sz w:val="18"/>
          <w:szCs w:val="18"/>
        </w:rPr>
        <w:t xml:space="preserve">Generated by Claude · Anthropic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1a52568721b874970b7cd6ca5d68febacc0d7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2026-06-20T06:19:38.672Z</dcterms:created>
  <dcterms:modified xsi:type="dcterms:W3CDTF">2026-06-20T06:19:38.672Z</dcterms:modified>
</cp:coreProperties>
</file>

<file path=docProps/custom.xml><?xml version="1.0" encoding="utf-8"?>
<Properties xmlns="http://schemas.openxmlformats.org/officeDocument/2006/custom-properties" xmlns:vt="http://schemas.openxmlformats.org/officeDocument/2006/docPropsVTypes"/>
</file>