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Responsible AI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4C72B0"/>
          <w:sz w:val="28"/>
          <w:szCs w:val="28"/>
        </w:rPr>
        <w:t xml:space="preserve">Model Interpretation, Bias Audit &amp; Mitigation Recommendations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Gradient Boosting · Customer Churn · SHAP + LIME + Fairness Analysis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a Responsible AI analysis of the Gradient Boosting churn classifier built in the prior project. The investigation covers three pillars: model interpretability (global and local), fairness auditing across sensitive demographic groups, and concrete mitigation recommendations.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</w:tblGrid>
      <w:tr>
        <w:tc>
          <w:tcPr>
            <w:tcW w:type="dxa" w:w="9360"/>
            <w:tcBorders>
              <w:top w:val="single" w:color="4C72B0" w:sz="6"/>
              <w:left w:val="thick" w:color="4C72B0" w:sz="12"/>
              <w:bottom w:val="none"/>
              <w:right w:val="none"/>
            </w:tcBorders>
            <w:shd w:color="FFF3CD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 Key Finding: The 56+ age group exhibits a False Negative Rate of 30.0% — nearly double the 15.2% seen in the 18–35 group. This means the model disproportionately misses churners among older customers, a significant fairness concern requiring remediation.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Overall model performance on the held-out test set: Accuracy 90.3%, ROC-AUC 0.927. All demographic groups achieve above 86% accuracy, but recall disparities exceed acceptable thresholds for age and income cohorts.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Model Interpretability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2.1 Global — Built-in Feature Importance vs SHAP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built-in impurity-based importance and SHAP (SHapley Additive exPlanations) values were computed. SHAP is preferred because it is model-agnostic, accounts for feature interactions, and has formal game-theoretic grounding.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 5 features by Mean |SHAP| value: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payment_method: mean |SHAP| = 0.7224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tech_support: mean |SHAP| = 0.6509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device_protection: mean |SHAP| = 0.5864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avg_login_days: mean |SHAP| = 0.5348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tenure_months: mean |SHAP| = 0.4909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Interpretation: payment_method and tech_support have the largest average influence on the churn prediction score. Customers with low tech support engagement and certain payment methods are systematically pushed toward a churn prediction.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2.2 SHAP Beeswarm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payment_method values (e.g., automatic bank transfer) consistently push predictions toward Stay.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tech_support values strongly reduce churn probability — likely a proxy for customer engagement.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avg_login_days pushes strongly toward Churn, confirming inactivity as a leading indicator.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tenure_months shows an expected monotonic effect: longer-tenured customers are less likely to churn.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2.3 Local — LIME Explanations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LIME (Local Interpretable Model-agnostic Explanations) was applied to three representative test instances to understand individual-level reasoning: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Instance</w:t>
            </w:r>
          </w:p>
        </w:tc>
        <w:tc>
          <w:tcPr>
            <w:tcW w:type="dxa" w:w="234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p(Churn)</w:t>
            </w:r>
          </w:p>
        </w:tc>
        <w:tc>
          <w:tcPr>
            <w:tcW w:type="dxa" w:w="234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 Push-to-Stay Features</w:t>
            </w:r>
          </w:p>
        </w:tc>
        <w:tc>
          <w:tcPr>
            <w:tcW w:type="dxa" w:w="234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 Push-to-Churn Features</w:t>
            </w:r>
          </w:p>
        </w:tc>
      </w:tr>
      <w:tr>
        <w:tc>
          <w:tcPr>
            <w:tcW w:type="dxa" w:w="234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Low-Risk (Stay)</w:t>
            </w:r>
          </w:p>
        </w:tc>
        <w:tc>
          <w:tcPr>
            <w:tcW w:type="dxa" w:w="234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1.1%</w:t>
            </w:r>
          </w:p>
        </w:tc>
        <w:tc>
          <w:tcPr>
            <w:tcW w:type="dxa" w:w="234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tech_support &gt; 1.95, high monthly_charges</w:t>
            </w:r>
          </w:p>
        </w:tc>
        <w:tc>
          <w:tcPr>
            <w:tcW w:type="dxa" w:w="234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significant</w:t>
            </w:r>
          </w:p>
        </w:tc>
      </w:tr>
      <w:tr>
        <w:tc>
          <w:tcPr>
            <w:tcW w:type="dxa" w:w="234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Borderline</w:t>
            </w:r>
          </w:p>
        </w:tc>
        <w:tc>
          <w:tcPr>
            <w:tcW w:type="dxa" w:w="234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6.5%</w:t>
            </w:r>
          </w:p>
        </w:tc>
        <w:tc>
          <w:tcPr>
            <w:tcW w:type="dxa" w:w="234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 tenure, good online_backup</w:t>
            </w:r>
          </w:p>
        </w:tc>
        <w:tc>
          <w:tcPr>
            <w:tcW w:type="dxa" w:w="234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monthly_charges</w:t>
            </w:r>
          </w:p>
        </w:tc>
      </w:tr>
      <w:tr>
        <w:tc>
          <w:tcPr>
            <w:tcW w:type="dxa" w:w="234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High-Risk (Churn)</w:t>
            </w:r>
          </w:p>
        </w:tc>
        <w:tc>
          <w:tcPr>
            <w:tcW w:type="dxa" w:w="234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99.0%</w:t>
            </w:r>
          </w:p>
        </w:tc>
        <w:tc>
          <w:tcPr>
            <w:tcW w:type="dxa" w:w="234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online_backup moderate</w:t>
            </w:r>
          </w:p>
        </w:tc>
        <w:tc>
          <w:tcPr>
            <w:tcW w:type="dxa" w:w="234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tech_support low, no device_protection, bad payment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LIME confirms the global picture: for the high-risk case, the absence of tech support and device protection are the dominant churn triggers, while for the low-risk case, strong engagement metrics and product usage are protective.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Bias &amp; Fairness Audit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3.1 Methodology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Fairness was evaluated across three sensitive attributes: gender, age_group (18–35, 36–55, 56+), and income_band (Low, Mid, High). For each subgroup, five metrics were computed: Accuracy, Precision, Recall, F1, and ROC-AUC. The False Negative Rate (FNR) — the fraction of actual churners the model fails to detect — was treated as the primary fairness metric, since missing a churner has direct business and equity consequences.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Disparity threshold: gaps exceeding 10 percentage points (0.10) in Recall or Precision are flagged as actionable.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3.2 Gender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Churn%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</w:tr>
      <w:tr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Male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143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30.1%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0.9091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0.8947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0.7907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0.8395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0.9302</w:t>
            </w:r>
          </w:p>
        </w:tc>
      </w:tr>
      <w:tr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Female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157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32.5%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0.8981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0.8571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0.8235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0.8400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0.9242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Gender disparity is minimal. Recall gap: 3.3 pp, F1 gap: &lt;0.1 pp. FNR: Male 20.9%, Female 17.7%. No significant bias detected by gender. This attribute can be considered fair under the current model.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3.3 Age Group 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Churn%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</w:tr>
      <w:tr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18–35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27.5%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0.9333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0.9032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0.8485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0.8750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0.9655</w:t>
            </w:r>
          </w:p>
        </w:tc>
      </w:tr>
      <w:tr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36–55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32.0%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0.8906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0.8293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0.8293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0.8293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0.9352</w:t>
            </w:r>
          </w:p>
        </w:tc>
      </w:tr>
      <w:tr>
        <w:tc>
          <w:tcPr>
            <w:tcW w:type="dxa" w:w="1170"/>
            <w:shd w:color="FFF3CD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56+</w:t>
            </w:r>
          </w:p>
        </w:tc>
        <w:tc>
          <w:tcPr>
            <w:tcW w:type="dxa" w:w="1170"/>
            <w:shd w:color="FFF3CD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1170"/>
            <w:shd w:color="FFF3CD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38.5%</w:t>
            </w:r>
          </w:p>
        </w:tc>
        <w:tc>
          <w:tcPr>
            <w:tcW w:type="dxa" w:w="1170"/>
            <w:shd w:color="FFF3CD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0.8654</w:t>
            </w:r>
          </w:p>
        </w:tc>
        <w:tc>
          <w:tcPr>
            <w:tcW w:type="dxa" w:w="1170"/>
            <w:shd w:color="FFF3CD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0.9333</w:t>
            </w:r>
          </w:p>
        </w:tc>
        <w:tc>
          <w:tcPr>
            <w:tcW w:type="dxa" w:w="1170"/>
            <w:shd w:color="FFF3CD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0.7000</w:t>
            </w:r>
          </w:p>
        </w:tc>
        <w:tc>
          <w:tcPr>
            <w:tcW w:type="dxa" w:w="1170"/>
            <w:shd w:color="FFF3CD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0.8000</w:t>
            </w:r>
          </w:p>
        </w:tc>
        <w:tc>
          <w:tcPr>
            <w:tcW w:type="dxa" w:w="1170"/>
            <w:shd w:color="FFF3CD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0.8438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</w:tblGrid>
      <w:tr>
        <w:tc>
          <w:tcPr>
            <w:tcW w:type="dxa" w:w="9360"/>
            <w:tcBorders>
              <w:top w:val="single" w:color="4C72B0" w:sz="6"/>
              <w:left w:val="thick" w:color="4C72B0" w:sz="12"/>
              <w:bottom w:val="none"/>
              <w:right w:val="none"/>
            </w:tcBorders>
            <w:shd w:color="FFE8E8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 group is the primary source of bias. The 56+ cohort has Recall of 0.700 (vs 0.849 for 18–35) — a 14.9 pp gap exceeding the 10 pp threshold. FNR for 56+ is 30.0% vs 15.2% for 18–35. The model systematically fails to identify churners among older customers, who also have the highest actual churn rate (38.5%).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cause hypothesis: the 56+ group exhibits fewer digital engagement signals (avg_login_days, online_backup) that the model relies on. Their churn may be driven by factors not captured in current features (e.g., service quality complaints, billing confusion).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3.4 Income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Churn%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170"/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</w:tr>
      <w:tr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124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37.1%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0.9032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0.9048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0.8261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0.8636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0.9298</w:t>
            </w:r>
          </w:p>
        </w:tc>
      </w:tr>
      <w:tr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30.3%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0.8989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0.8462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0.8148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0.8302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0.9247</w:t>
            </w:r>
          </w:p>
        </w:tc>
      </w:tr>
      <w:tr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24.1%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0.9080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0.8421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0.7619</w:t>
            </w:r>
          </w:p>
        </w:tc>
        <w:tc>
          <w:tcPr>
            <w:tcW w:type="dxa" w:w="117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0.8000</w:t>
            </w:r>
          </w:p>
        </w:tc>
        <w:tc>
          <w:tcPr>
            <w:tcW w:type="dxa" w:w="1170"/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0.9149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Income band shows moderate disparity. Recall gap: 6.4 pp (Low 82.6% vs High 76.2%). While below the 10 pp threshold, the direction is noteworthy: the High income group has the worst recall despite the lowest churn rate, suggesting the model underweights the signals present in this cohort.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FNR: Low 17.4%, Mid 18.5%, High 23.8%. The wealthier cohort being most likely to be missed for churn is counterintuitive and warrants investigation into potential proxy discrimination through payment or product features.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Mitigation Recommendations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4.1 Immediate Actions (High Priority)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Calibrated decision thresholds per age group: Lower the churn prediction threshold for the 56+ group from 0.50 to approximately 0.35, directly improving recall without retraining. This is the fastest path to FNR parity.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Human-in-the-loop review for 56+ high-stakes decisions: Flag all borderline cases (0.3–0.6 predicted probability) in the 56+ cohort for manual review by a customer success 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reweighting: Apply class_weight inversely proportional to group frequency (especially 56+ and High-income) during training to force the model to attend to underrepresented patterns.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4.2 Model-Level Interventions (Medium Priority)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SMOTE-NC oversampling for 56+ churn cases: Synthetically oversample churners in the 56+ segment to address both class imbalance and group underrepresentation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Fairness-aware training with Equalized Odds constraints: Add an Equalized Odds constraint (equal TPR and FPR across groups) using libraries such as Fairlearn or AIF360. Accept a small global accuracy trade-off (typically 1–3%) in exchange for recall parity.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 engineering for age-specific signals: Add features capturing offline service interactions (e.g., call centre frequency, paper billing preference) which may better represent churn intent in older demographics.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4.3 Structural / Process Interventions (Ongoing)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fairness monitoring dashboard: Log per-group FNR and Recall on every batch inference run. Alert if any group's FNR exceeds 25% or diverges from the global FNR by more than 10 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Disparate impact analysis at deployment: Compute the 4/5ths (80%) rule before each model update. A group receiving a favourable outcome at less than 80% the rate of the best-performing group triggers a mandatory bias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Regular retraining cadence with stratified evaluation: Retrain quarterly. Require per-group metric sign-off (including 56+ and High income recall) as a gating criterion before model promotion to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Documentation and model cards: Publish an internal model card documenting known limitations, affected groups, and intended use scope. Update after each audit cycle.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Full Interpretation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chart below consolidates all analysis: SHAP beeswarm, mean |SHAP| ranking, LIME waterfall for three instances, per-group F1 and Recall, False Negative Rate heatmap, disparity gaps, and the mitigation priority scorecard.</w:t>
      </w:r>
    </w:p>
    <w:p>
      <w:pPr>
        <w:spacing w:after="200" w:before="160"/>
        <w:jc w:val="center"/>
      </w:pPr>
      <w:r>
        <w:drawing>
          <wp:inline distT="0" distB="0" distL="0" distR="0">
            <wp:extent cx="6000750" cy="7200900"/>
            <wp:effectExtent t="0" r="0" b="0" l="0"/>
            <wp:docPr id="1" name="rai_chart" descr="Responsible AI interpretation and fairness dashboard" title="RAI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Conclusions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Gradient Boosting churn classifier performs well overall (AUC 0.927) but exhibits meaningful fairness gaps by age group. The 56+ cohort faces a False Negative Rate of 30% — nearly double the youngest group — and risks systematic under-service if the model is used as a sole decision-maker.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SHAP analysis reveals that the model leans heavily on digital engagement proxies (tech_support, device_protection, payment_method, avg_login_days). These features are valuable predictors but may encode demographic correlations that disadvantage less digitally active segments.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recommended near-term action is threshold calibration for the 56+ group, paired with a human review queue. Medium-term, Equalized Odds constraints and SMOTE-NC resampling should be evaluated in the next training cycle. All interventions should be tracked via an automated fairness monitoring pipeline before any production deployment.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Generated by Claude · Anthropic ·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e4fe6fe1e731f76801e460576d7e5695c63ef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2026-06-20T06:28:10.193Z</dcterms:created>
  <dcterms:modified xsi:type="dcterms:W3CDTF">2026-06-20T06:28:10.202Z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