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B7A" w:rsidRDefault="00215B7A">
      <w:pPr>
        <w:jc w:val="center"/>
        <w:rPr>
          <w:b/>
          <w:bCs/>
          <w:color w:val="FF3333"/>
        </w:rPr>
      </w:pPr>
      <w:r>
        <w:t>Reinforcement learning course</w:t>
      </w:r>
    </w:p>
    <w:p w:rsidR="00215B7A" w:rsidRDefault="00215B7A">
      <w:pPr>
        <w:jc w:val="center"/>
      </w:pPr>
      <w:r>
        <w:t>Home assignment #3: report</w:t>
      </w:r>
    </w:p>
    <w:p w:rsidR="00215B7A" w:rsidRDefault="00215B7A">
      <w:pPr>
        <w:jc w:val="center"/>
      </w:pPr>
    </w:p>
    <w:p w:rsidR="00215B7A" w:rsidRDefault="00215B7A">
      <w:pPr>
        <w:jc w:val="center"/>
      </w:pPr>
      <w:r>
        <w:t xml:space="preserve">Mohammad Ali Nazari and Tomasz </w:t>
      </w:r>
      <w:proofErr w:type="spellStart"/>
      <w:r>
        <w:t>Kosiński</w:t>
      </w:r>
      <w:proofErr w:type="spellEnd"/>
    </w:p>
    <w:p w:rsidR="00215B7A" w:rsidRDefault="00215B7A"/>
    <w:p w:rsidR="00215B7A" w:rsidRDefault="00215B7A">
      <w:r>
        <w:rPr>
          <w:b/>
          <w:bCs/>
        </w:rPr>
        <w:t>Task #2:</w:t>
      </w:r>
    </w:p>
    <w:p w:rsidR="00215B7A" w:rsidRDefault="00215B7A"/>
    <w:p w:rsidR="005C4580" w:rsidRDefault="005C4580" w:rsidP="005C4580">
      <w:pPr>
        <w:pStyle w:val="Standard"/>
        <w:jc w:val="both"/>
      </w:pPr>
      <w:r>
        <w:t>After running the Q-learning agent on a medium grid with 2000 training games and unchanged parameters (epsilon, gamma and alpha), it was impossible to reach the 95-100 % win level. The reason for it is that the exact Q-learning approach requires building a Q-function for the entire state space, which tends to impossible with the raising problem complexity.</w:t>
      </w:r>
    </w:p>
    <w:p w:rsidR="00D92A3E" w:rsidRDefault="00D92A3E" w:rsidP="005C4580">
      <w:pPr>
        <w:pStyle w:val="Standard"/>
        <w:jc w:val="both"/>
      </w:pPr>
    </w:p>
    <w:p w:rsidR="005C4580" w:rsidRDefault="00BB3323" w:rsidP="006B188F">
      <w:r>
        <w:t xml:space="preserve">In an attempt to fix it, we have conducted a small-scale empirical experiment, considering </w:t>
      </w:r>
      <w:r w:rsidR="006B188F">
        <w:t xml:space="preserve">a very basic approach, namely </w:t>
      </w:r>
      <w:r>
        <w:t>increasing number of training games.</w:t>
      </w:r>
    </w:p>
    <w:p w:rsidR="006D1DA8" w:rsidRDefault="006D1DA8" w:rsidP="006B1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3209"/>
        <w:gridCol w:w="3210"/>
      </w:tblGrid>
      <w:tr w:rsidR="00976457" w:rsidTr="00215B7A">
        <w:tc>
          <w:tcPr>
            <w:tcW w:w="1666" w:type="pct"/>
            <w:shd w:val="clear" w:color="auto" w:fill="auto"/>
          </w:tcPr>
          <w:p w:rsidR="00976457" w:rsidRPr="00215B7A" w:rsidRDefault="00976457" w:rsidP="00215B7A">
            <w:pPr>
              <w:jc w:val="center"/>
              <w:rPr>
                <w:b/>
                <w:bCs/>
              </w:rPr>
            </w:pPr>
            <w:r w:rsidRPr="00215B7A">
              <w:rPr>
                <w:b/>
                <w:bCs/>
              </w:rPr>
              <w:t># of training games</w:t>
            </w:r>
          </w:p>
        </w:tc>
        <w:tc>
          <w:tcPr>
            <w:tcW w:w="1666" w:type="pct"/>
            <w:shd w:val="clear" w:color="auto" w:fill="auto"/>
          </w:tcPr>
          <w:p w:rsidR="00976457" w:rsidRPr="00215B7A" w:rsidRDefault="00976457" w:rsidP="00215B7A">
            <w:pPr>
              <w:jc w:val="center"/>
              <w:rPr>
                <w:b/>
                <w:bCs/>
              </w:rPr>
            </w:pPr>
            <w:r w:rsidRPr="00215B7A">
              <w:rPr>
                <w:b/>
                <w:bCs/>
              </w:rPr>
              <w:t>Win rate [%]</w:t>
            </w:r>
          </w:p>
        </w:tc>
        <w:tc>
          <w:tcPr>
            <w:tcW w:w="1667" w:type="pct"/>
            <w:shd w:val="clear" w:color="auto" w:fill="auto"/>
          </w:tcPr>
          <w:p w:rsidR="00976457" w:rsidRPr="00215B7A" w:rsidRDefault="00976457" w:rsidP="00215B7A">
            <w:pPr>
              <w:jc w:val="center"/>
              <w:rPr>
                <w:b/>
                <w:bCs/>
              </w:rPr>
            </w:pPr>
            <w:r w:rsidRPr="00215B7A">
              <w:rPr>
                <w:b/>
                <w:bCs/>
              </w:rPr>
              <w:t>Avg</w:t>
            </w:r>
            <w:r w:rsidR="00B64A03" w:rsidRPr="00215B7A">
              <w:rPr>
                <w:b/>
                <w:bCs/>
              </w:rPr>
              <w:t>.</w:t>
            </w:r>
            <w:r w:rsidRPr="00215B7A">
              <w:rPr>
                <w:b/>
                <w:bCs/>
              </w:rPr>
              <w:t xml:space="preserve"> score of last 100 games</w:t>
            </w:r>
          </w:p>
        </w:tc>
      </w:tr>
      <w:tr w:rsidR="00976457" w:rsidTr="00215B7A">
        <w:tc>
          <w:tcPr>
            <w:tcW w:w="1666" w:type="pct"/>
            <w:shd w:val="clear" w:color="auto" w:fill="auto"/>
          </w:tcPr>
          <w:p w:rsidR="00976457" w:rsidRDefault="00976457" w:rsidP="00215B7A">
            <w:pPr>
              <w:jc w:val="center"/>
            </w:pPr>
            <w:r>
              <w:t xml:space="preserve">2 000 </w:t>
            </w:r>
          </w:p>
        </w:tc>
        <w:tc>
          <w:tcPr>
            <w:tcW w:w="1666" w:type="pct"/>
            <w:shd w:val="clear" w:color="auto" w:fill="auto"/>
          </w:tcPr>
          <w:p w:rsidR="00976457" w:rsidRDefault="00CC62AF" w:rsidP="00215B7A">
            <w:pPr>
              <w:jc w:val="center"/>
            </w:pPr>
            <w:r>
              <w:t>6.5</w:t>
            </w:r>
          </w:p>
        </w:tc>
        <w:tc>
          <w:tcPr>
            <w:tcW w:w="1667" w:type="pct"/>
            <w:shd w:val="clear" w:color="auto" w:fill="auto"/>
          </w:tcPr>
          <w:p w:rsidR="00976457" w:rsidRDefault="00CC62AF" w:rsidP="00215B7A">
            <w:pPr>
              <w:jc w:val="center"/>
            </w:pPr>
            <w:r w:rsidRPr="00CC62AF">
              <w:t>-459.59</w:t>
            </w:r>
          </w:p>
        </w:tc>
      </w:tr>
      <w:tr w:rsidR="00976457" w:rsidTr="00215B7A">
        <w:tc>
          <w:tcPr>
            <w:tcW w:w="1666" w:type="pct"/>
            <w:shd w:val="clear" w:color="auto" w:fill="auto"/>
          </w:tcPr>
          <w:p w:rsidR="00976457" w:rsidRDefault="00976457" w:rsidP="00215B7A">
            <w:pPr>
              <w:jc w:val="center"/>
            </w:pPr>
            <w:r>
              <w:t>11 000</w:t>
            </w:r>
          </w:p>
        </w:tc>
        <w:tc>
          <w:tcPr>
            <w:tcW w:w="1666" w:type="pct"/>
            <w:shd w:val="clear" w:color="auto" w:fill="auto"/>
          </w:tcPr>
          <w:p w:rsidR="00976457" w:rsidRDefault="00976457" w:rsidP="00215B7A">
            <w:pPr>
              <w:jc w:val="center"/>
            </w:pPr>
            <w:r>
              <w:t>58</w:t>
            </w:r>
          </w:p>
        </w:tc>
        <w:tc>
          <w:tcPr>
            <w:tcW w:w="1667" w:type="pct"/>
            <w:shd w:val="clear" w:color="auto" w:fill="auto"/>
          </w:tcPr>
          <w:p w:rsidR="00976457" w:rsidRDefault="00976457" w:rsidP="00215B7A">
            <w:pPr>
              <w:jc w:val="center"/>
            </w:pPr>
            <w:r>
              <w:t>86.92</w:t>
            </w:r>
          </w:p>
        </w:tc>
      </w:tr>
      <w:tr w:rsidR="00976457" w:rsidTr="00215B7A">
        <w:tc>
          <w:tcPr>
            <w:tcW w:w="1666" w:type="pct"/>
            <w:shd w:val="clear" w:color="auto" w:fill="auto"/>
          </w:tcPr>
          <w:p w:rsidR="00976457" w:rsidRDefault="00976457" w:rsidP="00215B7A">
            <w:pPr>
              <w:jc w:val="center"/>
            </w:pPr>
            <w:r>
              <w:t>12 000</w:t>
            </w:r>
          </w:p>
        </w:tc>
        <w:tc>
          <w:tcPr>
            <w:tcW w:w="1666" w:type="pct"/>
            <w:shd w:val="clear" w:color="auto" w:fill="auto"/>
          </w:tcPr>
          <w:p w:rsidR="00976457" w:rsidRDefault="00976457" w:rsidP="00215B7A">
            <w:pPr>
              <w:jc w:val="center"/>
            </w:pPr>
            <w:r>
              <w:t>69</w:t>
            </w:r>
          </w:p>
        </w:tc>
        <w:tc>
          <w:tcPr>
            <w:tcW w:w="1667" w:type="pct"/>
            <w:shd w:val="clear" w:color="auto" w:fill="auto"/>
          </w:tcPr>
          <w:p w:rsidR="00976457" w:rsidRDefault="00976457" w:rsidP="00215B7A">
            <w:pPr>
              <w:jc w:val="center"/>
            </w:pPr>
            <w:r>
              <w:t>202.97</w:t>
            </w:r>
          </w:p>
        </w:tc>
      </w:tr>
      <w:tr w:rsidR="00976457" w:rsidTr="00215B7A">
        <w:tc>
          <w:tcPr>
            <w:tcW w:w="1666" w:type="pct"/>
            <w:shd w:val="clear" w:color="auto" w:fill="auto"/>
          </w:tcPr>
          <w:p w:rsidR="00976457" w:rsidRDefault="00976457" w:rsidP="00215B7A">
            <w:pPr>
              <w:jc w:val="center"/>
            </w:pPr>
            <w:r>
              <w:t>13 000</w:t>
            </w:r>
          </w:p>
        </w:tc>
        <w:tc>
          <w:tcPr>
            <w:tcW w:w="1666" w:type="pct"/>
            <w:shd w:val="clear" w:color="auto" w:fill="auto"/>
          </w:tcPr>
          <w:p w:rsidR="00976457" w:rsidRDefault="00976457" w:rsidP="00215B7A">
            <w:pPr>
              <w:jc w:val="center"/>
            </w:pPr>
            <w:r>
              <w:t>78</w:t>
            </w:r>
          </w:p>
        </w:tc>
        <w:tc>
          <w:tcPr>
            <w:tcW w:w="1667" w:type="pct"/>
            <w:shd w:val="clear" w:color="auto" w:fill="auto"/>
          </w:tcPr>
          <w:p w:rsidR="00976457" w:rsidRDefault="00976457" w:rsidP="00215B7A">
            <w:pPr>
              <w:jc w:val="center"/>
            </w:pPr>
            <w:r>
              <w:t>297.98</w:t>
            </w:r>
          </w:p>
        </w:tc>
      </w:tr>
      <w:tr w:rsidR="00976457" w:rsidTr="00215B7A">
        <w:tc>
          <w:tcPr>
            <w:tcW w:w="1666" w:type="pct"/>
            <w:shd w:val="clear" w:color="auto" w:fill="auto"/>
          </w:tcPr>
          <w:p w:rsidR="00976457" w:rsidRDefault="00976457" w:rsidP="00215B7A">
            <w:pPr>
              <w:jc w:val="center"/>
            </w:pPr>
            <w:r>
              <w:t>14 000</w:t>
            </w:r>
          </w:p>
        </w:tc>
        <w:tc>
          <w:tcPr>
            <w:tcW w:w="1666" w:type="pct"/>
            <w:shd w:val="clear" w:color="auto" w:fill="auto"/>
          </w:tcPr>
          <w:p w:rsidR="00976457" w:rsidRDefault="00976457" w:rsidP="00215B7A">
            <w:pPr>
              <w:jc w:val="center"/>
            </w:pPr>
            <w:r>
              <w:t>78</w:t>
            </w:r>
          </w:p>
        </w:tc>
        <w:tc>
          <w:tcPr>
            <w:tcW w:w="1667" w:type="pct"/>
            <w:shd w:val="clear" w:color="auto" w:fill="auto"/>
          </w:tcPr>
          <w:p w:rsidR="00976457" w:rsidRDefault="00976457" w:rsidP="00215B7A">
            <w:pPr>
              <w:jc w:val="center"/>
            </w:pPr>
            <w:r>
              <w:t>299.85</w:t>
            </w:r>
          </w:p>
        </w:tc>
      </w:tr>
      <w:tr w:rsidR="00976457" w:rsidTr="00215B7A">
        <w:tc>
          <w:tcPr>
            <w:tcW w:w="1666" w:type="pct"/>
            <w:shd w:val="clear" w:color="auto" w:fill="auto"/>
          </w:tcPr>
          <w:p w:rsidR="00976457" w:rsidRDefault="00976457" w:rsidP="00215B7A">
            <w:pPr>
              <w:jc w:val="center"/>
            </w:pPr>
            <w:r>
              <w:t>17 500</w:t>
            </w:r>
          </w:p>
        </w:tc>
        <w:tc>
          <w:tcPr>
            <w:tcW w:w="1666" w:type="pct"/>
            <w:shd w:val="clear" w:color="auto" w:fill="auto"/>
          </w:tcPr>
          <w:p w:rsidR="00976457" w:rsidRDefault="00976457" w:rsidP="00215B7A">
            <w:pPr>
              <w:jc w:val="center"/>
            </w:pPr>
            <w:r>
              <w:t>85</w:t>
            </w:r>
          </w:p>
        </w:tc>
        <w:tc>
          <w:tcPr>
            <w:tcW w:w="1667" w:type="pct"/>
            <w:shd w:val="clear" w:color="auto" w:fill="auto"/>
          </w:tcPr>
          <w:p w:rsidR="00976457" w:rsidRDefault="00976457" w:rsidP="00215B7A">
            <w:pPr>
              <w:jc w:val="center"/>
            </w:pPr>
            <w:r>
              <w:t>369.37</w:t>
            </w:r>
          </w:p>
        </w:tc>
      </w:tr>
      <w:tr w:rsidR="00976457" w:rsidTr="00215B7A">
        <w:tc>
          <w:tcPr>
            <w:tcW w:w="1666" w:type="pct"/>
            <w:shd w:val="clear" w:color="auto" w:fill="auto"/>
          </w:tcPr>
          <w:p w:rsidR="00976457" w:rsidRDefault="00976457" w:rsidP="00215B7A">
            <w:pPr>
              <w:jc w:val="center"/>
            </w:pPr>
            <w:r>
              <w:t>20 000</w:t>
            </w:r>
          </w:p>
        </w:tc>
        <w:tc>
          <w:tcPr>
            <w:tcW w:w="1666" w:type="pct"/>
            <w:shd w:val="clear" w:color="auto" w:fill="auto"/>
          </w:tcPr>
          <w:p w:rsidR="00976457" w:rsidRDefault="00976457" w:rsidP="00215B7A">
            <w:pPr>
              <w:jc w:val="center"/>
            </w:pPr>
            <w:r>
              <w:t>89</w:t>
            </w:r>
          </w:p>
        </w:tc>
        <w:tc>
          <w:tcPr>
            <w:tcW w:w="1667" w:type="pct"/>
            <w:shd w:val="clear" w:color="auto" w:fill="auto"/>
          </w:tcPr>
          <w:p w:rsidR="00976457" w:rsidRDefault="00976457" w:rsidP="00215B7A">
            <w:pPr>
              <w:jc w:val="center"/>
            </w:pPr>
            <w:r>
              <w:t>414.52</w:t>
            </w:r>
          </w:p>
        </w:tc>
      </w:tr>
      <w:tr w:rsidR="00976457" w:rsidTr="00215B7A">
        <w:tc>
          <w:tcPr>
            <w:tcW w:w="1666" w:type="pct"/>
            <w:shd w:val="clear" w:color="auto" w:fill="auto"/>
          </w:tcPr>
          <w:p w:rsidR="00976457" w:rsidRDefault="00976457" w:rsidP="00215B7A">
            <w:pPr>
              <w:jc w:val="center"/>
            </w:pPr>
            <w:r>
              <w:t>25 000</w:t>
            </w:r>
          </w:p>
        </w:tc>
        <w:tc>
          <w:tcPr>
            <w:tcW w:w="1666" w:type="pct"/>
            <w:shd w:val="clear" w:color="auto" w:fill="auto"/>
          </w:tcPr>
          <w:p w:rsidR="00976457" w:rsidRDefault="00976457" w:rsidP="00215B7A">
            <w:pPr>
              <w:jc w:val="center"/>
            </w:pPr>
            <w:r>
              <w:t>98</w:t>
            </w:r>
          </w:p>
        </w:tc>
        <w:tc>
          <w:tcPr>
            <w:tcW w:w="1667" w:type="pct"/>
            <w:shd w:val="clear" w:color="auto" w:fill="auto"/>
          </w:tcPr>
          <w:p w:rsidR="00976457" w:rsidRDefault="00976457" w:rsidP="00215B7A">
            <w:pPr>
              <w:jc w:val="center"/>
            </w:pPr>
            <w:r>
              <w:t>506</w:t>
            </w:r>
          </w:p>
        </w:tc>
      </w:tr>
    </w:tbl>
    <w:p w:rsidR="00215B7A" w:rsidRDefault="00215B7A"/>
    <w:p w:rsidR="00CB0B9A" w:rsidRDefault="00CB0B9A" w:rsidP="004C253E">
      <w:r>
        <w:t xml:space="preserve">Another approach we could take is to tweak the Q-learning agent parameters (i.e. alpha, gamma and </w:t>
      </w:r>
      <w:r w:rsidR="004C253E">
        <w:t>epsilon</w:t>
      </w:r>
      <w:r>
        <w:t xml:space="preserve">). </w:t>
      </w:r>
      <w:r w:rsidR="00E13FA4">
        <w:t>Increasing, for instance, epsilon, the probability of taking random actions increase but with the expense of losing the game in many episodes (e.g. when Pacman moves around in the immediate vicinity of the Ghost).</w:t>
      </w:r>
    </w:p>
    <w:p w:rsidR="00C14CD4" w:rsidRDefault="00C14CD4" w:rsidP="004C253E"/>
    <w:p w:rsidR="00C14CD4" w:rsidRPr="00C14CD4" w:rsidRDefault="00C14CD4" w:rsidP="004C253E">
      <w:pPr>
        <w:rPr>
          <w:b/>
          <w:bCs/>
        </w:rPr>
      </w:pPr>
      <w:r w:rsidRPr="00C14CD4">
        <w:rPr>
          <w:b/>
          <w:bCs/>
        </w:rPr>
        <w:t>Task #3:</w:t>
      </w:r>
    </w:p>
    <w:p w:rsidR="00C14CD4" w:rsidRDefault="009911E0" w:rsidP="009911E0">
      <w:pPr>
        <w:jc w:val="both"/>
      </w:pPr>
      <w:r>
        <w:t>The methods “</w:t>
      </w:r>
      <w:proofErr w:type="spellStart"/>
      <w:r>
        <w:t>getQValue</w:t>
      </w:r>
      <w:proofErr w:type="spellEnd"/>
      <w:r>
        <w:t xml:space="preserve">” and “update” have been implemented. The program works for the </w:t>
      </w:r>
      <w:proofErr w:type="spellStart"/>
      <w:r>
        <w:t>smallGrid</w:t>
      </w:r>
      <w:proofErr w:type="spellEnd"/>
      <w:r>
        <w:t xml:space="preserve"> and Identity Feature Extractor. However, if fails when we use the Simple Extractor. Despite our serious effort to find the mistake in our implementation/reasoning, we submit this initial version of our work, and we will continue with the correction phase.</w:t>
      </w:r>
    </w:p>
    <w:p w:rsidR="009911E0" w:rsidRDefault="009911E0" w:rsidP="009911E0">
      <w:pPr>
        <w:jc w:val="both"/>
      </w:pPr>
    </w:p>
    <w:p w:rsidR="009911E0" w:rsidRDefault="009911E0" w:rsidP="009911E0">
      <w:pPr>
        <w:jc w:val="both"/>
        <w:rPr>
          <w:b/>
          <w:bCs/>
        </w:rPr>
      </w:pPr>
      <w:r w:rsidRPr="009911E0">
        <w:rPr>
          <w:b/>
          <w:bCs/>
        </w:rPr>
        <w:t>Questions</w:t>
      </w:r>
      <w:r>
        <w:rPr>
          <w:b/>
          <w:bCs/>
        </w:rPr>
        <w:t>:</w:t>
      </w:r>
    </w:p>
    <w:p w:rsidR="009911E0" w:rsidRDefault="009911E0" w:rsidP="009911E0">
      <w:pPr>
        <w:numPr>
          <w:ilvl w:val="0"/>
          <w:numId w:val="1"/>
        </w:numPr>
        <w:jc w:val="both"/>
      </w:pPr>
      <w:r>
        <w:t>In our Pacman game, two approaches to features are proposed. The first one is called Identity extractor, and the feature function matches the state-action pairs. The second one offers the state, x, y, and action features</w:t>
      </w:r>
      <w:r w:rsidR="00907391">
        <w:t>/attributes</w:t>
      </w:r>
      <w:r>
        <w:t>.</w:t>
      </w:r>
      <w:r w:rsidR="00907391">
        <w:t xml:space="preserve"> It seems that the features do not have meaningful interpretation (to our current understanding).</w:t>
      </w:r>
    </w:p>
    <w:p w:rsidR="00907391" w:rsidRPr="009911E0" w:rsidRDefault="00416544" w:rsidP="00416544">
      <w:pPr>
        <w:numPr>
          <w:ilvl w:val="0"/>
          <w:numId w:val="1"/>
        </w:numPr>
        <w:jc w:val="both"/>
      </w:pPr>
      <w:r>
        <w:t xml:space="preserve">The update equation 2, takes into account the maximum value we can have in the next state (delta), and updates the weights </w:t>
      </w:r>
      <w:proofErr w:type="spellStart"/>
      <w:r>
        <w:t>w</w:t>
      </w:r>
      <w:r>
        <w:rPr>
          <w:vertAlign w:val="subscript"/>
        </w:rPr>
        <w:t>i</w:t>
      </w:r>
      <w:proofErr w:type="spellEnd"/>
      <w:r>
        <w:t xml:space="preserve"> so that the feature function with more contribution in the value of the next state, gets more weight.</w:t>
      </w:r>
      <w:bookmarkStart w:id="0" w:name="_GoBack"/>
      <w:bookmarkEnd w:id="0"/>
    </w:p>
    <w:p w:rsidR="009911E0" w:rsidRDefault="009911E0" w:rsidP="009911E0">
      <w:pPr>
        <w:jc w:val="both"/>
      </w:pPr>
    </w:p>
    <w:p w:rsidR="00C14CD4" w:rsidRDefault="00C14CD4" w:rsidP="009911E0">
      <w:pPr>
        <w:jc w:val="both"/>
      </w:pPr>
    </w:p>
    <w:sectPr w:rsidR="00C14CD4">
      <w:pgSz w:w="11906" w:h="16838"/>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roid Sans Fallback">
    <w:charset w:val="01"/>
    <w:family w:val="auto"/>
    <w:pitch w:val="variable"/>
  </w:font>
  <w:font w:name="FreeSans">
    <w:altName w:val="Times New Roman"/>
    <w:charset w:val="01"/>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62DC6"/>
    <w:multiLevelType w:val="hybridMultilevel"/>
    <w:tmpl w:val="6BAACDF2"/>
    <w:lvl w:ilvl="0" w:tplc="81A63018">
      <w:numFmt w:val="bullet"/>
      <w:lvlText w:val=""/>
      <w:lvlJc w:val="left"/>
      <w:pPr>
        <w:ind w:left="720" w:hanging="360"/>
      </w:pPr>
      <w:rPr>
        <w:rFonts w:ascii="Symbol" w:eastAsia="Droid Sans Fallback"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80"/>
    <w:rsid w:val="000D0AF0"/>
    <w:rsid w:val="00215B7A"/>
    <w:rsid w:val="00416544"/>
    <w:rsid w:val="004601CE"/>
    <w:rsid w:val="004C253E"/>
    <w:rsid w:val="005C4580"/>
    <w:rsid w:val="006B188F"/>
    <w:rsid w:val="006D1DA8"/>
    <w:rsid w:val="00907391"/>
    <w:rsid w:val="00976457"/>
    <w:rsid w:val="009911E0"/>
    <w:rsid w:val="00B64A03"/>
    <w:rsid w:val="00BB3323"/>
    <w:rsid w:val="00C14CD4"/>
    <w:rsid w:val="00CB0B9A"/>
    <w:rsid w:val="00CC62AF"/>
    <w:rsid w:val="00D92A3E"/>
    <w:rsid w:val="00E13FA4"/>
    <w:rsid w:val="00E97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1E8E653-D35B-4ECA-80EC-669EA2ED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Standard">
    <w:name w:val="Standard"/>
    <w:rsid w:val="005C4580"/>
    <w:pPr>
      <w:widowControl w:val="0"/>
      <w:suppressAutoHyphens/>
      <w:autoSpaceDN w:val="0"/>
    </w:pPr>
    <w:rPr>
      <w:rFonts w:ascii="Liberation Serif" w:eastAsia="Droid Sans Fallback" w:hAnsi="Liberation Serif" w:cs="FreeSans"/>
      <w:kern w:val="3"/>
      <w:sz w:val="24"/>
      <w:szCs w:val="24"/>
      <w:lang w:val="en-GB" w:eastAsia="zh-CN" w:bidi="hi-IN"/>
    </w:rPr>
  </w:style>
  <w:style w:type="table" w:styleId="TableGrid">
    <w:name w:val="Table Grid"/>
    <w:basedOn w:val="TableNormal"/>
    <w:uiPriority w:val="39"/>
    <w:rsid w:val="006D1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6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C67A-F35E-4E7F-A91A-8F8300B0A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Mohammad Ali Nazari</cp:lastModifiedBy>
  <cp:revision>3</cp:revision>
  <cp:lastPrinted>2017-03-23T21:16:00Z</cp:lastPrinted>
  <dcterms:created xsi:type="dcterms:W3CDTF">2017-03-23T21:16:00Z</dcterms:created>
  <dcterms:modified xsi:type="dcterms:W3CDTF">2017-03-23T21:16:00Z</dcterms:modified>
</cp:coreProperties>
</file>