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84a59d18ca58256b1b2f9b2a3ab20102c5a5a1"/>
    <w:p>
      <w:pPr>
        <w:pStyle w:val="Heading1"/>
      </w:pPr>
      <w:r>
        <w:t xml:space="preserve">Multi-Constraint Satisfaction (MCS): A Unified Computational Framework for Consciousness Modeling with Educational Validation</w:t>
      </w:r>
    </w:p>
    <w:p>
      <w:r>
        <w:pict>
          <v:rect style="width:0;height:1.5pt" o:hralign="center" o:hrstd="t" o:hr="t"/>
        </w:pict>
      </w:r>
    </w:p>
    <w:p>
      <w:pPr>
        <w:pStyle w:val="FirstParagraph"/>
      </w:pPr>
      <w:r>
        <w:rPr>
          <w:b/>
          <w:bCs/>
        </w:rPr>
        <w:t xml:space="preserve">Author:</w:t>
      </w:r>
      <w:r>
        <w:t xml:space="preserve"> </w:t>
      </w:r>
      <w:r>
        <w:t xml:space="preserve">Yonggang Weng</w:t>
      </w:r>
      <w:r>
        <w:br/>
      </w:r>
      <w:r>
        <w:rPr>
          <w:b/>
          <w:bCs/>
        </w:rPr>
        <w:t xml:space="preserve">Affiliation:</w:t>
      </w:r>
      <w:r>
        <w:t xml:space="preserve"> </w:t>
      </w:r>
      <w:r>
        <w:t xml:space="preserve">Universiti Teknologi Malaysia (UTM), Kuala Lumpur, Malaysia</w:t>
      </w:r>
      <w:r>
        <w:br/>
      </w:r>
      <w:r>
        <w:rPr>
          <w:b/>
          <w:bCs/>
        </w:rPr>
        <w:t xml:space="preserve">Email:</w:t>
      </w:r>
      <w:r>
        <w:t xml:space="preserve"> </w:t>
      </w:r>
      <w:r>
        <w:t xml:space="preserve">weng@graduate.utm.my</w:t>
      </w:r>
    </w:p>
    <w:p>
      <w:pPr>
        <w:pStyle w:val="BodyText"/>
      </w:pPr>
      <w:r>
        <w:rPr>
          <w:b/>
          <w:bCs/>
        </w:rPr>
        <w:t xml:space="preserve">Submission Type:</w:t>
      </w:r>
      <w:r>
        <w:t xml:space="preserve"> </w:t>
      </w:r>
      <w:r>
        <w:t xml:space="preserve">IEEE Transactions on Affective Computing — Regular Paper (8 pages)</w:t>
      </w:r>
    </w:p>
    <w:p>
      <w:r>
        <w:pict>
          <v:rect style="width:0;height:1.5pt" o:hralign="center" o:hrstd="t" o:hr="t"/>
        </w:pict>
      </w:r>
    </w:p>
    <w:bookmarkStart w:id="9" w:name="abstract"/>
    <w:p>
      <w:pPr>
        <w:pStyle w:val="Heading2"/>
      </w:pPr>
      <w:r>
        <w:t xml:space="preserve">Abstract</w:t>
      </w:r>
    </w:p>
    <w:p>
      <w:pPr>
        <w:pStyle w:val="FirstParagraph"/>
      </w:pPr>
      <w:r>
        <w:t xml:space="preserve">The scientific study of consciousness has produced influential but fragmented theories. We propose the Multi-Constraint Satisfaction (MCS) framework, which unifies six theoretical constraints—sensory coherence, temporal continuity, self-consistency, action feasibility, social interpretability, and integrated information—into a single computational model. Through five experimental phases using four educational datasets (MEMA EEG, FER2013, DAiSEE, EdNet; 5,800+ samples total), we demonstrate that MCS V2 with exponential formulation achieves 5-fold CV R²=0.164 on DAiSEE engagement prediction, improving from the NCT Φ baseline R²=0.074. Constraint ablation reveals that removing temporal continuity (C2) causes F1 to drop by 31.3% (p&lt;0.01). We identify domain boundaries: MCS excels with multimodal signals but plateaus on pure interaction sequences (EdNet AUC≈0.244). The framework is open-sourced at https://github.com/wyg5208/nct.</w:t>
      </w:r>
    </w:p>
    <w:p>
      <w:pPr>
        <w:pStyle w:val="BodyText"/>
      </w:pPr>
      <w:r>
        <w:rPr>
          <w:b/>
          <w:bCs/>
        </w:rPr>
        <w:t xml:space="preserve">Keywords:</w:t>
      </w:r>
      <w:r>
        <w:t xml:space="preserve"> </w:t>
      </w:r>
      <w:r>
        <w:t xml:space="preserve">Consciousness Modeling, Constraint Satisfaction, Integrated Information Theory, Affective Computing, Educational Applications</w:t>
      </w:r>
    </w:p>
    <w:p>
      <w:r>
        <w:pict>
          <v:rect style="width:0;height:1.5pt" o:hralign="center" o:hrstd="t" o:hr="t"/>
        </w:pict>
      </w:r>
    </w:p>
    <w:bookmarkEnd w:id="9"/>
    <w:bookmarkStart w:id="13" w:name="introduction"/>
    <w:p>
      <w:pPr>
        <w:pStyle w:val="Heading2"/>
      </w:pPr>
      <w:r>
        <w:t xml:space="preserve">1. Introduction</w:t>
      </w:r>
    </w:p>
    <w:bookmarkStart w:id="10" w:name="the-fragmentation-problem"/>
    <w:p>
      <w:pPr>
        <w:pStyle w:val="Heading3"/>
      </w:pPr>
      <w:r>
        <w:t xml:space="preserve">1.1 The Fragmentation Problem</w:t>
      </w:r>
    </w:p>
    <w:p>
      <w:pPr>
        <w:pStyle w:val="FirstParagraph"/>
      </w:pPr>
      <w:r>
        <w:t xml:space="preserve">Consciousness research has produced multiple influential frameworks: Integrated Information Theory (IIT) quantifies consciousness through integrated information Φ [1-3]; Global Workspace Theory (GWT) explains consciousness via global information broadcast [4,5]; predictive coding frames consciousness as prediction error minimization [6]. Despite individual merits, these theories remain isolated, creating theoretical incompleteness and application limitations.</w:t>
      </w:r>
    </w:p>
    <w:bookmarkEnd w:id="10"/>
    <w:bookmarkStart w:id="11" w:name="the-constraint-satisfaction-approach"/>
    <w:p>
      <w:pPr>
        <w:pStyle w:val="Heading3"/>
      </w:pPr>
      <w:r>
        <w:t xml:space="preserve">1.2 The Constraint Satisfaction Approach</w:t>
      </w:r>
    </w:p>
    <w:p>
      <w:pPr>
        <w:pStyle w:val="FirstParagraph"/>
      </w:pPr>
      <w:r>
        <w:t xml:space="preserve">We propose that consciousness can be understood through constraint satisfaction—a computational paradigm with roots in cognitive science [7,8]. Rather than asking</w:t>
      </w:r>
      <w:r>
        <w:t xml:space="preserve"> </w:t>
      </w:r>
      <w:r>
        <w:t xml:space="preserve">“what is consciousness?”</w:t>
      </w:r>
      <w:r>
        <w:t xml:space="preserve">, we ask</w:t>
      </w:r>
      <w:r>
        <w:t xml:space="preserve"> </w:t>
      </w:r>
      <w:r>
        <w:t xml:space="preserve">“what constraints must be satisfied for consciousness to emerge?”</w:t>
      </w:r>
    </w:p>
    <w:p>
      <w:pPr>
        <w:pStyle w:val="BodyText"/>
      </w:pPr>
      <w:r>
        <w:t xml:space="preserve">This approach offers: (1) theoretical unification—each theory emphasizes specific constraints; (2) mathematical precision—well-defined optimization problems; (3) domain flexibility—different applications can emphasize different constraint subsets; (4) interpretable diagnostics—constraint violation patterns provide mechanistic explanations.</w:t>
      </w:r>
    </w:p>
    <w:bookmarkEnd w:id="11"/>
    <w:bookmarkStart w:id="12" w:name="contributions"/>
    <w:p>
      <w:pPr>
        <w:pStyle w:val="Heading3"/>
      </w:pPr>
      <w:r>
        <w:t xml:space="preserve">1.3 Contributions</w:t>
      </w:r>
    </w:p>
    <w:p>
      <w:pPr>
        <w:pStyle w:val="Compact"/>
        <w:numPr>
          <w:ilvl w:val="0"/>
          <w:numId w:val="1001"/>
        </w:numPr>
      </w:pPr>
      <w:r>
        <w:rPr>
          <w:b/>
          <w:bCs/>
        </w:rPr>
        <w:t xml:space="preserve">Theoretical</w:t>
      </w:r>
      <w:r>
        <w:t xml:space="preserve">: MCS integrates six constraints bridging IIT, GWT, predictive coding, and coherence theories.</w:t>
      </w:r>
    </w:p>
    <w:p>
      <w:pPr>
        <w:pStyle w:val="Compact"/>
        <w:numPr>
          <w:ilvl w:val="0"/>
          <w:numId w:val="1001"/>
        </w:numPr>
      </w:pPr>
      <w:r>
        <w:rPr>
          <w:b/>
          <w:bCs/>
        </w:rPr>
        <w:t xml:space="preserve">Implementation</w:t>
      </w:r>
      <w:r>
        <w:t xml:space="preserve">: Complete PyTorch implementation with V1/V2 formulation variants.</w:t>
      </w:r>
    </w:p>
    <w:p>
      <w:pPr>
        <w:pStyle w:val="Compact"/>
        <w:numPr>
          <w:ilvl w:val="0"/>
          <w:numId w:val="1001"/>
        </w:numPr>
      </w:pPr>
      <w:r>
        <w:rPr>
          <w:b/>
          <w:bCs/>
        </w:rPr>
        <w:t xml:space="preserve">Empirical</w:t>
      </w:r>
      <w:r>
        <w:t xml:space="preserve">: Five-phase validation across four educational datasets demonstrating both successes (R² improvement) and principled failures (EdNet plateau).</w:t>
      </w:r>
    </w:p>
    <w:p>
      <w:pPr>
        <w:pStyle w:val="Compact"/>
        <w:numPr>
          <w:ilvl w:val="0"/>
          <w:numId w:val="1001"/>
        </w:numPr>
      </w:pPr>
      <w:r>
        <w:rPr>
          <w:b/>
          <w:bCs/>
        </w:rPr>
        <w:t xml:space="preserve">Methodological</w:t>
      </w:r>
      <w:r>
        <w:t xml:space="preserve">: Domain-specific constraint selection as a key design principle.</w:t>
      </w:r>
    </w:p>
    <w:p>
      <w:r>
        <w:pict>
          <v:rect style="width:0;height:1.5pt" o:hralign="center" o:hrstd="t" o:hr="t"/>
        </w:pict>
      </w:r>
    </w:p>
    <w:bookmarkEnd w:id="12"/>
    <w:bookmarkEnd w:id="13"/>
    <w:bookmarkStart w:id="14" w:name="related-work"/>
    <w:p>
      <w:pPr>
        <w:pStyle w:val="Heading2"/>
      </w:pPr>
      <w:r>
        <w:t xml:space="preserve">2. Related Work</w:t>
      </w:r>
    </w:p>
    <w:p>
      <w:pPr>
        <w:pStyle w:val="FirstParagraph"/>
      </w:pPr>
      <w:r>
        <w:rPr>
          <w:b/>
          <w:bCs/>
        </w:rPr>
        <w:t xml:space="preserve">Consciousness Theories.</w:t>
      </w:r>
      <w:r>
        <w:t xml:space="preserve"> </w:t>
      </w:r>
      <w:r>
        <w:t xml:space="preserve">IIT [1-3] proposes consciousness corresponds to integrated information Φ. GWT [4,5] suggests consciousness arises from global broadcast across cortical areas. Predictive coding [6] proposes the brain minimizes prediction error. Higher-order theories [5,11] emphasize meta-representation.</w:t>
      </w:r>
    </w:p>
    <w:p>
      <w:pPr>
        <w:pStyle w:val="BodyText"/>
      </w:pPr>
      <w:r>
        <w:rPr>
          <w:b/>
          <w:bCs/>
        </w:rPr>
        <w:t xml:space="preserve">Constraint Satisfaction.</w:t>
      </w:r>
      <w:r>
        <w:t xml:space="preserve"> </w:t>
      </w:r>
      <w:r>
        <w:t xml:space="preserve">Thagard and Verbeurgt [7] modeled explanatory coherence as constraint satisfaction. Rumelhart et al. [8] applied constraint satisfaction to connectionist networks. We extend this tradition to consciousness itself.</w:t>
      </w:r>
    </w:p>
    <w:p>
      <w:pPr>
        <w:pStyle w:val="BodyText"/>
      </w:pPr>
      <w:r>
        <w:rPr>
          <w:b/>
          <w:bCs/>
        </w:rPr>
        <w:t xml:space="preserve">Affective Computing in Education.</w:t>
      </w:r>
      <w:r>
        <w:t xml:space="preserve"> </w:t>
      </w:r>
      <w:r>
        <w:t xml:space="preserve">Progress includes cognitive load estimation from EEG [14,15], engagement detection from video [16], and attention monitoring [17]. However, these approaches typically target single constructs rather than integrated assessment.</w:t>
      </w:r>
    </w:p>
    <w:p>
      <w:pPr>
        <w:pStyle w:val="BodyText"/>
      </w:pPr>
      <w:r>
        <w:rPr>
          <w:b/>
          <w:bCs/>
        </w:rPr>
        <w:t xml:space="preserve">Gaps.</w:t>
      </w:r>
      <w:r>
        <w:t xml:space="preserve"> </w:t>
      </w:r>
      <w:r>
        <w:t xml:space="preserve">Existing work lacks: (1) computational unification of consciousness theories; (2) comprehensive educational validation; (3) domain adaptation principles. MCS addresses all three.</w:t>
      </w:r>
    </w:p>
    <w:p>
      <w:r>
        <w:pict>
          <v:rect style="width:0;height:1.5pt" o:hralign="center" o:hrstd="t" o:hr="t"/>
        </w:pict>
      </w:r>
    </w:p>
    <w:bookmarkEnd w:id="14"/>
    <w:bookmarkStart w:id="19" w:name="the-mcs-framework"/>
    <w:p>
      <w:pPr>
        <w:pStyle w:val="Heading2"/>
      </w:pPr>
      <w:r>
        <w:t xml:space="preserve">3. The MCS Framework</w:t>
      </w:r>
    </w:p>
    <w:bookmarkStart w:id="15" w:name="foundational-axioms"/>
    <w:p>
      <w:pPr>
        <w:pStyle w:val="Heading3"/>
      </w:pPr>
      <w:r>
        <w:t xml:space="preserve">3.1 Foundational Axioms</w:t>
      </w:r>
    </w:p>
    <w:p>
      <w:pPr>
        <w:pStyle w:val="FirstParagraph"/>
      </w:pPr>
      <w:r>
        <w:rPr>
          <w:b/>
          <w:bCs/>
        </w:rPr>
        <w:t xml:space="preserve">Axiom 1 (Existence)</w:t>
      </w:r>
      <w:r>
        <w:t xml:space="preserve">: Conscious states exist as non-empty states:</w:t>
      </w:r>
      <w:r>
        <w:t xml:space="preserve"> </w:t>
      </w:r>
      <m:oMath>
        <m:r>
          <m:rPr>
            <m:sty m:val="p"/>
          </m:rPr>
          <m:t>∃</m:t>
        </m:r>
        <m:r>
          <m:t>C</m:t>
        </m:r>
        <m:r>
          <m:rPr>
            <m:sty m:val="p"/>
          </m:rPr>
          <m:t>(</m:t>
        </m:r>
        <m:r>
          <m:t>t</m:t>
        </m:r>
        <m:r>
          <m:rPr>
            <m:sty m:val="p"/>
          </m:rPr>
          <m:t>)</m:t>
        </m:r>
        <m:r>
          <m:rPr>
            <m:sty m:val="p"/>
          </m:rPr>
          <m:t>≠</m:t>
        </m:r>
        <m:r>
          <m:rPr>
            <m:sty m:val="p"/>
          </m:rPr>
          <m:t>∅</m:t>
        </m:r>
      </m:oMath>
      <w:r>
        <w:t xml:space="preserve">.</w:t>
      </w:r>
    </w:p>
    <w:p>
      <w:pPr>
        <w:pStyle w:val="BodyText"/>
      </w:pPr>
      <w:r>
        <w:rPr>
          <w:b/>
          <w:bCs/>
        </w:rPr>
        <w:t xml:space="preserve">Axiom 2 (Optimization)</w:t>
      </w:r>
      <w:r>
        <w:t xml:space="preserve">: Conscious states minimize total constraint violation:</w:t>
      </w:r>
    </w:p>
    <w:p>
      <w:pPr>
        <w:pStyle w:val="BodyText"/>
      </w:pPr>
      <m:oMathPara>
        <m:oMathParaPr>
          <m:jc m:val="center"/>
        </m:oMathParaPr>
        <m:oMath>
          <m:r>
            <m:t>C</m:t>
          </m:r>
          <m:r>
            <m:rPr>
              <m:sty m:val="p"/>
            </m:rPr>
            <m:t>(</m:t>
          </m:r>
          <m:r>
            <m:t>t</m:t>
          </m:r>
          <m:r>
            <m:rPr>
              <m:sty m:val="p"/>
            </m:rPr>
            <m:t>)</m:t>
          </m:r>
          <m:r>
            <m:rPr>
              <m:sty m:val="p"/>
            </m:rPr>
            <m:t>=</m:t>
          </m:r>
          <m:r>
            <m:rPr>
              <m:sty m:val="p"/>
            </m:rPr>
            <m:t>arg</m:t>
          </m:r>
          <m:limLow>
            <m:e>
              <m:r>
                <m:rPr>
                  <m:sty m:val="p"/>
                </m:rPr>
                <m:t>min</m:t>
              </m:r>
            </m:e>
            <m:lim>
              <m:r>
                <m:t>S</m:t>
              </m:r>
            </m:lim>
          </m:limLow>
          <m:nary>
            <m:naryPr>
              <m:chr m:val="∑"/>
              <m:limLoc m:val="undOvr"/>
              <m:subHide m:val="off"/>
              <m:supHide m:val="on"/>
            </m:naryPr>
            <m:sub>
              <m:r>
                <m:t>i</m:t>
              </m:r>
            </m:sub>
            <m:sup>
              <m:r>
                <m:t>​</m:t>
              </m:r>
            </m:sup>
            <m:e>
              <m:sSub>
                <m:e>
                  <m:r>
                    <m:t>w</m:t>
                  </m:r>
                </m:e>
                <m:sub>
                  <m:r>
                    <m:t>i</m:t>
                  </m:r>
                </m:sub>
              </m:sSub>
            </m:e>
          </m:nary>
          <m:r>
            <m:rPr>
              <m:sty m:val="p"/>
            </m:rPr>
            <m:t>⋅</m:t>
          </m:r>
          <m:sSub>
            <m:e>
              <m:r>
                <m:t>V</m:t>
              </m:r>
            </m:e>
            <m:sub>
              <m:r>
                <m:t>i</m:t>
              </m:r>
            </m:sub>
          </m:sSub>
          <m:r>
            <m:rPr>
              <m:sty m:val="p"/>
            </m:rPr>
            <m:t>(</m:t>
          </m:r>
          <m:r>
            <m:t>S</m:t>
          </m:r>
          <m:r>
            <m:rPr>
              <m:sty m:val="p"/>
            </m:rPr>
            <m:t>,</m:t>
          </m:r>
          <m:r>
            <m:t>t</m:t>
          </m:r>
          <m:r>
            <m:rPr>
              <m:sty m:val="p"/>
            </m:rPr>
            <m:t>)</m:t>
          </m:r>
        </m:oMath>
      </m:oMathPara>
    </w:p>
    <w:p>
      <w:pPr>
        <w:pStyle w:val="FirstParagraph"/>
      </w:pPr>
      <w:r>
        <w:rPr>
          <w:b/>
          <w:bCs/>
        </w:rPr>
        <w:t xml:space="preserve">Axiom 3 (Hierarchy)</w:t>
      </w:r>
      <w:r>
        <w:t xml:space="preserve">: Constraints possess hierarchical importance determined by context.</w:t>
      </w:r>
    </w:p>
    <w:bookmarkEnd w:id="15"/>
    <w:bookmarkStart w:id="16" w:name="the-six-constraints"/>
    <w:p>
      <w:pPr>
        <w:pStyle w:val="Heading3"/>
      </w:pPr>
      <w:r>
        <w:t xml:space="preserve">3.2 The Six Constraints</w:t>
      </w:r>
    </w:p>
    <w:p>
      <w:pPr>
        <w:pStyle w:val="FirstParagraph"/>
      </w:pPr>
      <w:r>
        <w:rPr>
          <w:b/>
          <w:bCs/>
        </w:rPr>
        <w:t xml:space="preserve">C1 (Sensory Coherence)</w:t>
      </w:r>
      <w:r>
        <w:t xml:space="preserve">: Multi-modal inputs must be spatiotemporally aligned:</w:t>
      </w:r>
    </w:p>
    <w:p>
      <w:pPr>
        <w:pStyle w:val="BodyText"/>
      </w:pPr>
      <m:oMathPara>
        <m:oMathParaPr>
          <m:jc m:val="center"/>
        </m:oMathParaPr>
        <m:oMath>
          <m:sSub>
            <m:e>
              <m:r>
                <m:t>V</m:t>
              </m:r>
            </m:e>
            <m:sub>
              <m:r>
                <m:t>1</m:t>
              </m:r>
            </m:sub>
          </m:sSub>
          <m:r>
            <m:rPr>
              <m:sty m:val="p"/>
            </m:rPr>
            <m:t>=</m:t>
          </m:r>
          <m:sSub>
            <m:e>
              <m:r>
                <m:t>α</m:t>
              </m:r>
            </m:e>
            <m:sub>
              <m:r>
                <m:t>t</m:t>
              </m:r>
            </m:sub>
          </m:sSub>
          <m:r>
            <m:rPr>
              <m:sty m:val="p"/>
            </m:rPr>
            <m:t>⋅</m:t>
          </m:r>
          <m:r>
            <m:rPr>
              <m:sty m:val="p"/>
            </m:rPr>
            <m:t>max</m:t>
          </m:r>
          <m:r>
            <m:rPr>
              <m:sty m:val="p"/>
            </m:rPr>
            <m:t>(</m:t>
          </m:r>
          <m:r>
            <m:t>0</m:t>
          </m:r>
          <m:r>
            <m:rPr>
              <m:sty m:val="p"/>
            </m:rPr>
            <m:t>,</m:t>
          </m:r>
          <m:r>
            <m:rPr>
              <m:sty m:val="p"/>
            </m:rPr>
            <m:t>|</m:t>
          </m:r>
          <m:r>
            <m:rPr>
              <m:sty m:val="p"/>
            </m:rPr>
            <m:t>Δ</m:t>
          </m:r>
          <m:r>
            <m:t>t</m:t>
          </m:r>
          <m:r>
            <m:rPr>
              <m:sty m:val="p"/>
            </m:rPr>
            <m:t>|</m:t>
          </m:r>
          <m:r>
            <m:rPr>
              <m:sty m:val="p"/>
            </m:rPr>
            <m:t>−</m:t>
          </m:r>
          <m:sSub>
            <m:e>
              <m:r>
                <m:t>δ</m:t>
              </m:r>
            </m:e>
            <m:sub>
              <m:r>
                <m:t>t</m:t>
              </m:r>
            </m:sub>
          </m:sSub>
          <m:r>
            <m:rPr>
              <m:sty m:val="p"/>
            </m:rPr>
            <m:t>)</m:t>
          </m:r>
          <m:r>
            <m:rPr>
              <m:sty m:val="p"/>
            </m:rPr>
            <m:t>/</m:t>
          </m:r>
          <m:sSub>
            <m:e>
              <m:r>
                <m:t>δ</m:t>
              </m:r>
            </m:e>
            <m:sub>
              <m:r>
                <m:t>t</m:t>
              </m:r>
            </m:sub>
          </m:sSub>
          <m:r>
            <m:rPr>
              <m:sty m:val="p"/>
            </m:rPr>
            <m:t>+</m:t>
          </m:r>
          <m:sSub>
            <m:e>
              <m:r>
                <m:t>α</m:t>
              </m:r>
            </m:e>
            <m:sub>
              <m:r>
                <m:t>f</m:t>
              </m:r>
            </m:sub>
          </m:sSub>
          <m:r>
            <m:rPr>
              <m:sty m:val="p"/>
            </m:rPr>
            <m:t>⋅</m:t>
          </m:r>
          <m:r>
            <m:rPr>
              <m:sty m:val="p"/>
            </m:rPr>
            <m:t>(</m:t>
          </m:r>
          <m:r>
            <m:t>1</m:t>
          </m:r>
          <m:r>
            <m:rPr>
              <m:sty m:val="p"/>
            </m:rPr>
            <m:t>−</m:t>
          </m:r>
          <m:sSub>
            <m:e>
              <m:r>
                <m:rPr>
                  <m:nor/>
                  <m:sty m:val="p"/>
                </m:rPr>
                <m:t>sim</m:t>
              </m:r>
            </m:e>
            <m:sub>
              <m:r>
                <m:rPr>
                  <m:nor/>
                  <m:sty m:val="p"/>
                </m:rPr>
                <m:t>features</m:t>
              </m:r>
            </m:sub>
          </m:sSub>
          <m:r>
            <m:rPr>
              <m:sty m:val="p"/>
            </m:rPr>
            <m:t>)</m:t>
          </m:r>
        </m:oMath>
      </m:oMathPara>
    </w:p>
    <w:p>
      <w:pPr>
        <w:pStyle w:val="FirstParagraph"/>
      </w:pPr>
      <w:r>
        <w:rPr>
          <w:b/>
          <w:bCs/>
        </w:rPr>
        <w:t xml:space="preserve">C2 (Temporal Continuity)</w:t>
      </w:r>
      <w:r>
        <w:t xml:space="preserve">: Current state must be predictable from history:</w:t>
      </w:r>
    </w:p>
    <w:p>
      <w:pPr>
        <w:pStyle w:val="BodyText"/>
      </w:pPr>
      <m:oMathPara>
        <m:oMathParaPr>
          <m:jc m:val="center"/>
        </m:oMathParaPr>
        <m:oMath>
          <m:sSub>
            <m:e>
              <m:r>
                <m:t>V</m:t>
              </m:r>
            </m:e>
            <m:sub>
              <m:r>
                <m:t>2</m:t>
              </m:r>
            </m:sub>
          </m:sSub>
          <m:r>
            <m:rPr>
              <m:sty m:val="p"/>
            </m:rPr>
            <m:t>=</m:t>
          </m:r>
          <m:r>
            <m:rPr>
              <m:sty m:val="p"/>
            </m:rPr>
            <m:t>∥</m:t>
          </m:r>
          <m:r>
            <m:t>S</m:t>
          </m:r>
          <m:r>
            <m:rPr>
              <m:sty m:val="p"/>
            </m:rPr>
            <m:t>(</m:t>
          </m:r>
          <m:r>
            <m:t>t</m:t>
          </m:r>
          <m:r>
            <m:rPr>
              <m:sty m:val="p"/>
            </m:rPr>
            <m:t>)</m:t>
          </m:r>
          <m:r>
            <m:rPr>
              <m:sty m:val="p"/>
            </m:rPr>
            <m:t>−</m:t>
          </m:r>
          <m:sSub>
            <m:e>
              <m:r>
                <m:t>f</m:t>
              </m:r>
            </m:e>
            <m:sub>
              <m:r>
                <m:rPr>
                  <m:nor/>
                  <m:sty m:val="p"/>
                </m:rPr>
                <m:t>GRU</m:t>
              </m:r>
            </m:sub>
          </m:sSub>
          <m:r>
            <m:rPr>
              <m:sty m:val="p"/>
            </m:rPr>
            <m:t>(</m:t>
          </m:r>
          <m:r>
            <m:t>S</m:t>
          </m:r>
          <m:r>
            <m:rPr>
              <m:sty m:val="p"/>
            </m:rPr>
            <m:t>(</m:t>
          </m:r>
          <m:r>
            <m:t>t</m:t>
          </m:r>
          <m:r>
            <m:rPr>
              <m:sty m:val="p"/>
            </m:rPr>
            <m:t>−</m:t>
          </m:r>
          <m:r>
            <m:t>1</m:t>
          </m:r>
          <m:r>
            <m:rPr>
              <m:sty m:val="p"/>
            </m:rPr>
            <m:t>)</m:t>
          </m:r>
          <m:r>
            <m:rPr>
              <m:sty m:val="p"/>
            </m:rPr>
            <m:t>,</m:t>
          </m:r>
          <m:r>
            <m:rPr>
              <m:sty m:val="p"/>
            </m:rPr>
            <m:t>…</m:t>
          </m:r>
          <m:r>
            <m:rPr>
              <m:sty m:val="p"/>
            </m:rPr>
            <m:t>,</m:t>
          </m:r>
          <m:r>
            <m:t>S</m:t>
          </m:r>
          <m:r>
            <m:rPr>
              <m:sty m:val="p"/>
            </m:rPr>
            <m:t>(</m:t>
          </m:r>
          <m:r>
            <m:t>t</m:t>
          </m:r>
          <m:r>
            <m:rPr>
              <m:sty m:val="p"/>
            </m:rPr>
            <m:t>−</m:t>
          </m:r>
          <m:r>
            <m:t>k</m:t>
          </m:r>
          <m:r>
            <m:rPr>
              <m:sty m:val="p"/>
            </m:rPr>
            <m:t>)</m:t>
          </m:r>
          <m:r>
            <m:rPr>
              <m:sty m:val="p"/>
            </m:rPr>
            <m:t>)</m:t>
          </m:r>
          <m:sSubSup>
            <m:e>
              <m:r>
                <m:rPr>
                  <m:sty m:val="p"/>
                </m:rPr>
                <m:t>∥</m:t>
              </m:r>
            </m:e>
            <m:sub>
              <m:r>
                <m:t>2</m:t>
              </m:r>
            </m:sub>
            <m:sup>
              <m:r>
                <m:t>2</m:t>
              </m:r>
            </m:sup>
          </m:sSubSup>
        </m:oMath>
      </m:oMathPara>
    </w:p>
    <w:p>
      <w:pPr>
        <w:pStyle w:val="FirstParagraph"/>
      </w:pPr>
      <w:r>
        <w:rPr>
          <w:b/>
          <w:bCs/>
        </w:rPr>
        <w:t xml:space="preserve">C3 (Self-Consistency)</w:t>
      </w:r>
      <w:r>
        <w:t xml:space="preserve">: Belief system must be internally coherent:</w:t>
      </w:r>
    </w:p>
    <w:p>
      <w:pPr>
        <w:pStyle w:val="BodyText"/>
      </w:pPr>
      <m:oMathPara>
        <m:oMathParaPr>
          <m:jc m:val="center"/>
        </m:oMathParaPr>
        <m:oMath>
          <m:sSub>
            <m:e>
              <m:r>
                <m:t>V</m:t>
              </m:r>
            </m:e>
            <m:sub>
              <m:r>
                <m:t>3</m:t>
              </m:r>
            </m:sub>
          </m:sSub>
          <m:r>
            <m:rPr>
              <m:sty m:val="p"/>
            </m:rPr>
            <m:t>=</m:t>
          </m:r>
          <m:f>
            <m:fPr>
              <m:type m:val="bar"/>
            </m:fPr>
            <m:num>
              <m:r>
                <m:t>1</m:t>
              </m:r>
            </m:num>
            <m:den>
              <m:d>
                <m:dPr>
                  <m:begChr m:val="("/>
                  <m:sepChr m:val=""/>
                  <m:endChr m:val=")"/>
                  <m:grow/>
                </m:dPr>
                <m:e>
                  <m:f>
                    <m:fPr>
                      <m:type m:val="noBar"/>
                    </m:fPr>
                    <m:num>
                      <m:r>
                        <m:t>n</m:t>
                      </m:r>
                    </m:num>
                    <m:den>
                      <m:r>
                        <m:t>2</m:t>
                      </m:r>
                    </m:den>
                  </m:f>
                </m:e>
              </m:d>
            </m:den>
          </m:f>
          <m:nary>
            <m:naryPr>
              <m:chr m:val="∑"/>
              <m:limLoc m:val="undOvr"/>
              <m:subHide m:val="off"/>
              <m:supHide m:val="on"/>
            </m:naryPr>
            <m:sub>
              <m:r>
                <m:t>i</m:t>
              </m:r>
              <m:r>
                <m:rPr>
                  <m:sty m:val="p"/>
                </m:rPr>
                <m:t>&lt;</m:t>
              </m:r>
              <m:r>
                <m:t>j</m:t>
              </m:r>
            </m:sub>
            <m:sup>
              <m:r>
                <m:t>​</m:t>
              </m:r>
            </m:sup>
            <m:e>
              <m:r>
                <m:rPr>
                  <m:scr m:val="double-struck"/>
                  <m:sty m:val="p"/>
                </m:rPr>
                <m:t>I</m:t>
              </m:r>
            </m:e>
          </m:nary>
          <m:r>
            <m:rPr>
              <m:sty m:val="p"/>
            </m:rPr>
            <m:t>[</m:t>
          </m:r>
          <m:r>
            <m:rPr>
              <m:nor/>
              <m:sty m:val="p"/>
            </m:rPr>
            <m:t>contradict</m:t>
          </m:r>
          <m:r>
            <m:rPr>
              <m:sty m:val="p"/>
            </m:rPr>
            <m:t>(</m:t>
          </m:r>
          <m:sSub>
            <m:e>
              <m:r>
                <m:t>b</m:t>
              </m:r>
            </m:e>
            <m:sub>
              <m:r>
                <m:t>i</m:t>
              </m:r>
            </m:sub>
          </m:sSub>
          <m:r>
            <m:rPr>
              <m:sty m:val="p"/>
            </m:rPr>
            <m:t>,</m:t>
          </m:r>
          <m:sSub>
            <m:e>
              <m:r>
                <m:t>b</m:t>
              </m:r>
            </m:e>
            <m:sub>
              <m:r>
                <m:t>j</m:t>
              </m:r>
            </m:sub>
          </m:sSub>
          <m:r>
            <m:rPr>
              <m:sty m:val="p"/>
            </m:rPr>
            <m:t>)</m:t>
          </m:r>
          <m:r>
            <m:rPr>
              <m:sty m:val="p"/>
            </m:rPr>
            <m:t>]</m:t>
          </m:r>
        </m:oMath>
      </m:oMathPara>
    </w:p>
    <w:p>
      <w:pPr>
        <w:pStyle w:val="FirstParagraph"/>
      </w:pPr>
      <w:r>
        <w:rPr>
          <w:b/>
          <w:bCs/>
        </w:rPr>
        <w:t xml:space="preserve">C4 (Action Feasibility)</w:t>
      </w:r>
      <w:r>
        <w:t xml:space="preserve">: Intentions must map to executable motor plans:</w:t>
      </w:r>
    </w:p>
    <w:p>
      <w:pPr>
        <w:pStyle w:val="BodyText"/>
      </w:pPr>
      <m:oMathPara>
        <m:oMathParaPr>
          <m:jc m:val="center"/>
        </m:oMathParaPr>
        <m:oMath>
          <m:sSub>
            <m:e>
              <m:r>
                <m:t>V</m:t>
              </m:r>
            </m:e>
            <m:sub>
              <m:r>
                <m:t>4</m:t>
              </m:r>
            </m:sub>
          </m:sSub>
          <m:r>
            <m:rPr>
              <m:sty m:val="p"/>
            </m:rPr>
            <m:t>=</m:t>
          </m:r>
          <m:r>
            <m:t>1</m:t>
          </m:r>
          <m:r>
            <m:rPr>
              <m:sty m:val="p"/>
            </m:rPr>
            <m:t>−</m:t>
          </m:r>
          <m:r>
            <m:rPr>
              <m:nor/>
              <m:sty m:val="p"/>
            </m:rPr>
            <m:t>feasible</m:t>
          </m:r>
          <m:r>
            <m:rPr>
              <m:sty m:val="p"/>
            </m:rPr>
            <m:t>(</m:t>
          </m:r>
          <m:r>
            <m:t>I</m:t>
          </m:r>
          <m:r>
            <m:rPr>
              <m:sty m:val="p"/>
            </m:rPr>
            <m:t>)</m:t>
          </m:r>
        </m:oMath>
      </m:oMathPara>
    </w:p>
    <w:p>
      <w:pPr>
        <w:pStyle w:val="FirstParagraph"/>
      </w:pPr>
      <w:r>
        <w:rPr>
          <w:b/>
          <w:bCs/>
        </w:rPr>
        <w:t xml:space="preserve">C5 (Social Interpretability)</w:t>
      </w:r>
      <w:r>
        <w:t xml:space="preserve">: Experiences must be communicable:</w:t>
      </w:r>
    </w:p>
    <w:p>
      <w:pPr>
        <w:pStyle w:val="BodyText"/>
      </w:pPr>
      <m:oMathPara>
        <m:oMathParaPr>
          <m:jc m:val="center"/>
        </m:oMathParaPr>
        <m:oMath>
          <m:sSub>
            <m:e>
              <m:r>
                <m:t>V</m:t>
              </m:r>
            </m:e>
            <m:sub>
              <m:r>
                <m:t>5</m:t>
              </m:r>
            </m:sub>
          </m:sSub>
          <m:r>
            <m:rPr>
              <m:sty m:val="p"/>
            </m:rPr>
            <m:t>=</m:t>
          </m:r>
          <m:r>
            <m:rPr>
              <m:sty m:val="p"/>
            </m:rPr>
            <m:t>∥</m:t>
          </m:r>
          <m:r>
            <m:t>E</m:t>
          </m:r>
          <m:r>
            <m:rPr>
              <m:sty m:val="p"/>
            </m:rPr>
            <m:t>−</m:t>
          </m:r>
          <m:r>
            <m:t>D</m:t>
          </m:r>
          <m:r>
            <m:rPr>
              <m:sty m:val="p"/>
            </m:rPr>
            <m:t>(</m:t>
          </m:r>
          <m:r>
            <m:t>L</m:t>
          </m:r>
          <m:r>
            <m:rPr>
              <m:sty m:val="p"/>
            </m:rPr>
            <m:t>(</m:t>
          </m:r>
          <m:r>
            <m:t>E</m:t>
          </m:r>
          <m:r>
            <m:rPr>
              <m:sty m:val="p"/>
            </m:rPr>
            <m:t>)</m:t>
          </m:r>
          <m:r>
            <m:rPr>
              <m:sty m:val="p"/>
            </m:rPr>
            <m:t>)</m:t>
          </m:r>
          <m:r>
            <m:rPr>
              <m:sty m:val="p"/>
            </m:rPr>
            <m:t>∥</m:t>
          </m:r>
          <m:r>
            <m:rPr>
              <m:sty m:val="p"/>
            </m:rPr>
            <m:t>/</m:t>
          </m:r>
          <m:r>
            <m:rPr>
              <m:sty m:val="p"/>
            </m:rPr>
            <m:t>∥</m:t>
          </m:r>
          <m:r>
            <m:t>E</m:t>
          </m:r>
          <m:sSub>
            <m:e>
              <m:r>
                <m:rPr>
                  <m:sty m:val="p"/>
                </m:rPr>
                <m:t>∥</m:t>
              </m:r>
            </m:e>
            <m:sub>
              <m:r>
                <m:rPr>
                  <m:sty m:val="p"/>
                </m:rPr>
                <m:t>∞</m:t>
              </m:r>
            </m:sub>
          </m:sSub>
        </m:oMath>
      </m:oMathPara>
    </w:p>
    <w:p>
      <w:pPr>
        <w:pStyle w:val="FirstParagraph"/>
      </w:pPr>
      <w:r>
        <w:rPr>
          <w:b/>
          <w:bCs/>
        </w:rPr>
        <w:t xml:space="preserve">C6 (Integrated Information)</w:t>
      </w:r>
      <w:r>
        <w:t xml:space="preserve">: System’s Φ must exceed minimum threshold:</w:t>
      </w:r>
    </w:p>
    <w:p>
      <w:pPr>
        <w:pStyle w:val="BodyText"/>
      </w:pPr>
      <m:oMathPara>
        <m:oMathParaPr>
          <m:jc m:val="center"/>
        </m:oMathParaPr>
        <m:oMath>
          <m:sSub>
            <m:e>
              <m:r>
                <m:t>V</m:t>
              </m:r>
            </m:e>
            <m:sub>
              <m:r>
                <m:t>6</m:t>
              </m:r>
            </m:sub>
          </m:sSub>
          <m:r>
            <m:rPr>
              <m:sty m:val="p"/>
            </m:rPr>
            <m:t>=</m:t>
          </m:r>
          <m:r>
            <m:rPr>
              <m:sty m:val="p"/>
            </m:rPr>
            <m:t>max</m:t>
          </m:r>
          <m:r>
            <m:rPr>
              <m:sty m:val="p"/>
            </m:rPr>
            <m:t>(</m:t>
          </m:r>
          <m:r>
            <m:t>0</m:t>
          </m:r>
          <m:r>
            <m:rPr>
              <m:sty m:val="p"/>
            </m:rPr>
            <m:t>,</m:t>
          </m:r>
          <m:sSub>
            <m:e>
              <m:r>
                <m:rPr>
                  <m:sty m:val="p"/>
                </m:rPr>
                <m:t>Φ</m:t>
              </m:r>
            </m:e>
            <m:sub>
              <m:r>
                <m:rPr>
                  <m:sty m:val="p"/>
                </m:rPr>
                <m:t>min</m:t>
              </m:r>
            </m:sub>
          </m:sSub>
          <m:r>
            <m:rPr>
              <m:sty m:val="p"/>
            </m:rPr>
            <m:t>−</m:t>
          </m:r>
          <m:r>
            <m:rPr>
              <m:sty m:val="p"/>
            </m:rPr>
            <m:t>Φ</m:t>
          </m:r>
          <m:r>
            <m:rPr>
              <m:sty m:val="p"/>
            </m:rPr>
            <m:t>)</m:t>
          </m:r>
        </m:oMath>
      </m:oMathPara>
    </w:p>
    <w:bookmarkEnd w:id="16"/>
    <w:bookmarkStart w:id="17" w:name="unified-consciousness-measure"/>
    <w:p>
      <w:pPr>
        <w:pStyle w:val="Heading3"/>
      </w:pPr>
      <w:r>
        <w:t xml:space="preserve">3.3 Unified Consciousness Measure</w:t>
      </w:r>
    </w:p>
    <w:p>
      <w:pPr>
        <w:pStyle w:val="FirstParagraph"/>
      </w:pPr>
      <w:r>
        <w:rPr>
          <w:b/>
          <w:bCs/>
        </w:rPr>
        <w:t xml:space="preserve">V1 (Logistic):</w:t>
      </w:r>
      <w:r>
        <w:t xml:space="preserve"> </w:t>
      </w:r>
      <m:oMath>
        <m:r>
          <m:t>L</m:t>
        </m:r>
        <m:r>
          <m:rPr>
            <m:sty m:val="p"/>
          </m:rPr>
          <m:t>(</m:t>
        </m:r>
        <m:r>
          <m:t>S</m:t>
        </m:r>
        <m:r>
          <m:rPr>
            <m:sty m:val="p"/>
          </m:rPr>
          <m:t>)</m:t>
        </m:r>
        <m:r>
          <m:rPr>
            <m:sty m:val="p"/>
          </m:rPr>
          <m:t>=</m:t>
        </m:r>
        <m:r>
          <m:t>1</m:t>
        </m:r>
        <m:r>
          <m:rPr>
            <m:sty m:val="p"/>
          </m:rPr>
          <m:t>/</m:t>
        </m:r>
        <m:r>
          <m:rPr>
            <m:sty m:val="p"/>
          </m:rPr>
          <m:t>(</m:t>
        </m:r>
        <m:r>
          <m:t>1</m:t>
        </m:r>
        <m:r>
          <m:rPr>
            <m:sty m:val="p"/>
          </m:rPr>
          <m:t>+</m:t>
        </m:r>
        <m:nary>
          <m:naryPr>
            <m:chr m:val="∑"/>
            <m:limLoc m:val="undOvr"/>
            <m:subHide m:val="off"/>
            <m:supHide m:val="on"/>
          </m:naryPr>
          <m:sub>
            <m:r>
              <m:t>i</m:t>
            </m:r>
          </m:sub>
          <m:sup>
            <m:r>
              <m:t>​</m:t>
            </m:r>
          </m:sup>
          <m:e>
            <m:sSub>
              <m:e>
                <m:r>
                  <m:t>w</m:t>
                </m:r>
              </m:e>
              <m:sub>
                <m:r>
                  <m:t>i</m:t>
                </m:r>
              </m:sub>
            </m:sSub>
          </m:e>
        </m:nary>
        <m:sSub>
          <m:e>
            <m:r>
              <m:t>V</m:t>
            </m:r>
          </m:e>
          <m:sub>
            <m:r>
              <m:t>i</m:t>
            </m:r>
          </m:sub>
        </m:sSub>
        <m:r>
          <m:rPr>
            <m:sty m:val="p"/>
          </m:rPr>
          <m:t>)</m:t>
        </m:r>
      </m:oMath>
    </w:p>
    <w:p>
      <w:pPr>
        <w:pStyle w:val="BodyText"/>
      </w:pPr>
      <w:r>
        <w:rPr>
          <w:b/>
          <w:bCs/>
        </w:rPr>
        <w:t xml:space="preserve">V2 (Exponential with Normalization):</w:t>
      </w:r>
    </w:p>
    <w:p>
      <w:pPr>
        <w:pStyle w:val="BodyText"/>
      </w:pPr>
      <m:oMathPara>
        <m:oMathParaPr>
          <m:jc m:val="center"/>
        </m:oMathParaPr>
        <m:oMath>
          <m:r>
            <m:t>L</m:t>
          </m:r>
          <m:r>
            <m:rPr>
              <m:sty m:val="p"/>
            </m:rPr>
            <m:t>(</m:t>
          </m:r>
          <m:r>
            <m:t>S</m:t>
          </m:r>
          <m:r>
            <m:rPr>
              <m:sty m:val="p"/>
            </m:rPr>
            <m:t>)</m:t>
          </m:r>
          <m:r>
            <m:rPr>
              <m:sty m:val="p"/>
            </m:rPr>
            <m:t>=</m:t>
          </m:r>
          <m:r>
            <m:rPr>
              <m:sty m:val="p"/>
            </m:rPr>
            <m:t>exp</m:t>
          </m:r>
          <m:d>
            <m:dPr>
              <m:begChr m:val="("/>
              <m:sepChr m:val=""/>
              <m:endChr m:val=")"/>
              <m:grow/>
            </m:dPr>
            <m:e>
              <m:r>
                <m:rPr>
                  <m:sty m:val="p"/>
                </m:rPr>
                <m:t>−</m:t>
              </m:r>
              <m:nary>
                <m:naryPr>
                  <m:chr m:val="∑"/>
                  <m:limLoc m:val="undOvr"/>
                  <m:subHide m:val="off"/>
                  <m:supHide m:val="on"/>
                </m:naryPr>
                <m:sub>
                  <m:r>
                    <m:t>i</m:t>
                  </m:r>
                </m:sub>
                <m:sup>
                  <m:r>
                    <m:t>​</m:t>
                  </m:r>
                </m:sup>
                <m:e>
                  <m:sSub>
                    <m:e>
                      <m:r>
                        <m:t>w</m:t>
                      </m:r>
                    </m:e>
                    <m:sub>
                      <m:r>
                        <m:t>i</m:t>
                      </m:r>
                    </m:sub>
                  </m:sSub>
                </m:e>
              </m:nary>
              <m:sSubSup>
                <m:e>
                  <m:r>
                    <m:t>V</m:t>
                  </m:r>
                </m:e>
                <m:sub>
                  <m:r>
                    <m:t>i</m:t>
                  </m:r>
                </m:sub>
                <m:sup>
                  <m:r>
                    <m:rPr>
                      <m:nor/>
                      <m:sty m:val="p"/>
                    </m:rPr>
                    <m:t>norm</m:t>
                  </m:r>
                </m:sup>
              </m:sSubSup>
            </m:e>
          </m:d>
          <m:r>
            <m:rPr>
              <m:sty m:val="p"/>
            </m:rPr>
            <m:t>,</m:t>
          </m:r>
          <m:r>
            <m:t> </m:t>
          </m:r>
          <m:sSubSup>
            <m:e>
              <m:r>
                <m:t>V</m:t>
              </m:r>
            </m:e>
            <m:sub>
              <m:r>
                <m:t>i</m:t>
              </m:r>
            </m:sub>
            <m:sup>
              <m:r>
                <m:rPr>
                  <m:nor/>
                  <m:sty m:val="p"/>
                </m:rPr>
                <m:t>norm</m:t>
              </m:r>
            </m:sup>
          </m:sSubSup>
          <m:r>
            <m:rPr>
              <m:sty m:val="p"/>
            </m:rPr>
            <m:t>=</m:t>
          </m:r>
          <m:r>
            <m:rPr>
              <m:sty m:val="p"/>
            </m:rPr>
            <m:t>(</m:t>
          </m:r>
          <m:sSub>
            <m:e>
              <m:r>
                <m:t>V</m:t>
              </m:r>
            </m:e>
            <m:sub>
              <m:r>
                <m:t>i</m:t>
              </m:r>
            </m:sub>
          </m:sSub>
          <m:r>
            <m:rPr>
              <m:sty m:val="p"/>
            </m:rPr>
            <m:t>−</m:t>
          </m:r>
          <m:sSub>
            <m:e>
              <m:r>
                <m:t>μ</m:t>
              </m:r>
            </m:e>
            <m:sub>
              <m:r>
                <m:t>i</m:t>
              </m:r>
            </m:sub>
          </m:sSub>
          <m:r>
            <m:rPr>
              <m:sty m:val="p"/>
            </m:rPr>
            <m:t>)</m:t>
          </m:r>
          <m:r>
            <m:rPr>
              <m:sty m:val="p"/>
            </m:rPr>
            <m:t>/</m:t>
          </m:r>
          <m:r>
            <m:rPr>
              <m:sty m:val="p"/>
            </m:rPr>
            <m:t>(</m:t>
          </m:r>
          <m:sSub>
            <m:e>
              <m:r>
                <m:t>σ</m:t>
              </m:r>
            </m:e>
            <m:sub>
              <m:r>
                <m:t>i</m:t>
              </m:r>
            </m:sub>
          </m:sSub>
          <m:r>
            <m:rPr>
              <m:sty m:val="p"/>
            </m:rPr>
            <m:t>+</m:t>
          </m:r>
          <m:r>
            <m:t>ϵ</m:t>
          </m:r>
          <m:r>
            <m:rPr>
              <m:sty m:val="p"/>
            </m:rPr>
            <m:t>)</m:t>
          </m:r>
        </m:oMath>
      </m:oMathPara>
    </w:p>
    <w:p>
      <w:pPr>
        <w:pStyle w:val="FirstParagraph"/>
      </w:pPr>
      <w:r>
        <w:t xml:space="preserve">where running statistics are computed over a 100-sample warmup window.</w:t>
      </w:r>
    </w:p>
    <w:bookmarkEnd w:id="17"/>
    <w:bookmarkStart w:id="18" w:name="domain-specific-weight-selection"/>
    <w:p>
      <w:pPr>
        <w:pStyle w:val="Heading3"/>
      </w:pPr>
      <w:r>
        <w:t xml:space="preserve">3.4 Domain-Specific Weight Selection</w:t>
      </w:r>
    </w:p>
    <w:p>
      <w:pPr>
        <w:pStyle w:val="FirstParagraph"/>
      </w:pPr>
      <w:r>
        <w:rPr>
          <w:b/>
          <w:bCs/>
        </w:rPr>
        <w:t xml:space="preserve">Educational Assessment</w:t>
      </w:r>
      <w:r>
        <w:t xml:space="preserve"> </w:t>
      </w:r>
      <w:r>
        <w:t xml:space="preserve">prioritizes C1, C2, C6 (learning requires sustained attention and integration) while de-emphasizing C3, C4, C5 (set to zero weights). Weights were determined through grid search on DAiSEE validation set. Future work will explore data-driven adaptive weight learning.</w:t>
      </w:r>
    </w:p>
    <w:p>
      <w:pPr>
        <w:pStyle w:val="BodyText"/>
      </w:pPr>
      <w:r>
        <w:rPr>
          <w:b/>
          <w:bCs/>
        </w:rPr>
        <w:t xml:space="preserve">Table 1: V2 Weight Configuration for Education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Weight</w:t>
            </w:r>
          </w:p>
        </w:tc>
        <w:tc>
          <w:tcPr/>
          <w:p>
            <w:pPr>
              <w:pStyle w:val="Compact"/>
            </w:pPr>
            <w:r>
              <w:t xml:space="preserve">Rationale</w:t>
            </w:r>
          </w:p>
        </w:tc>
      </w:tr>
      <w:tr>
        <w:tc>
          <w:tcPr/>
          <w:p>
            <w:pPr>
              <w:pStyle w:val="Compact"/>
            </w:pPr>
            <w:r>
              <w:t xml:space="preserve">C1 (Sensory)</w:t>
            </w:r>
          </w:p>
        </w:tc>
        <w:tc>
          <w:tcPr/>
          <w:p>
            <w:pPr>
              <w:pStyle w:val="Compact"/>
            </w:pPr>
            <w:r>
              <w:t xml:space="preserve">1.0</w:t>
            </w:r>
          </w:p>
        </w:tc>
        <w:tc>
          <w:tcPr/>
          <w:p>
            <w:pPr>
              <w:pStyle w:val="Compact"/>
            </w:pPr>
            <w:r>
              <w:t xml:space="preserve">Multimodal attention</w:t>
            </w:r>
          </w:p>
        </w:tc>
      </w:tr>
      <w:tr>
        <w:tc>
          <w:tcPr/>
          <w:p>
            <w:pPr>
              <w:pStyle w:val="Compact"/>
            </w:pPr>
            <w:r>
              <w:t xml:space="preserve">C2 (Temporal)</w:t>
            </w:r>
          </w:p>
        </w:tc>
        <w:tc>
          <w:tcPr/>
          <w:p>
            <w:pPr>
              <w:pStyle w:val="Compact"/>
            </w:pPr>
            <w:r>
              <w:t xml:space="preserve">2.0</w:t>
            </w:r>
          </w:p>
        </w:tc>
        <w:tc>
          <w:tcPr/>
          <w:p>
            <w:pPr>
              <w:pStyle w:val="Compact"/>
            </w:pPr>
            <w:r>
              <w:t xml:space="preserve">Strongest predictor in ablation</w:t>
            </w:r>
          </w:p>
        </w:tc>
      </w:tr>
      <w:tr>
        <w:tc>
          <w:tcPr/>
          <w:p>
            <w:pPr>
              <w:pStyle w:val="Compact"/>
            </w:pPr>
            <w:r>
              <w:t xml:space="preserve">C3/C4/C5</w:t>
            </w:r>
          </w:p>
        </w:tc>
        <w:tc>
          <w:tcPr/>
          <w:p>
            <w:pPr>
              <w:pStyle w:val="Compact"/>
            </w:pPr>
            <w:r>
              <w:t xml:space="preserve">0.0</w:t>
            </w:r>
          </w:p>
        </w:tc>
        <w:tc>
          <w:tcPr/>
          <w:p>
            <w:pPr>
              <w:pStyle w:val="Compact"/>
            </w:pPr>
            <w:r>
              <w:t xml:space="preserve">Not applicable for passive video learning</w:t>
            </w:r>
          </w:p>
        </w:tc>
      </w:tr>
      <w:tr>
        <w:tc>
          <w:tcPr/>
          <w:p>
            <w:pPr>
              <w:pStyle w:val="Compact"/>
            </w:pPr>
            <w:r>
              <w:t xml:space="preserve">C6 (Integration)</w:t>
            </w:r>
          </w:p>
        </w:tc>
        <w:tc>
          <w:tcPr/>
          <w:p>
            <w:pPr>
              <w:pStyle w:val="Compact"/>
            </w:pPr>
            <w:r>
              <w:t xml:space="preserve">1.5</w:t>
            </w:r>
          </w:p>
        </w:tc>
        <w:tc>
          <w:tcPr/>
          <w:p>
            <w:pPr>
              <w:pStyle w:val="Compact"/>
            </w:pPr>
            <w:r>
              <w:t xml:space="preserve">Core consciousness metric</w:t>
            </w:r>
          </w:p>
        </w:tc>
      </w:tr>
    </w:tbl>
    <w:p>
      <w:r>
        <w:pict>
          <v:rect style="width:0;height:1.5pt" o:hralign="center" o:hrstd="t" o:hr="t"/>
        </w:pict>
      </w:r>
    </w:p>
    <w:bookmarkEnd w:id="18"/>
    <w:bookmarkEnd w:id="19"/>
    <w:bookmarkStart w:id="20" w:name="implementation"/>
    <w:p>
      <w:pPr>
        <w:pStyle w:val="Heading2"/>
      </w:pPr>
      <w:r>
        <w:t xml:space="preserve">4. Implementation</w:t>
      </w:r>
    </w:p>
    <w:p>
      <w:pPr>
        <w:pStyle w:val="FirstParagraph"/>
      </w:pPr>
      <w:r>
        <w:t xml:space="preserve">The MCS solver consists of six constraint modules:</w:t>
      </w:r>
    </w:p>
    <w:p>
      <w:pPr>
        <w:pStyle w:val="SourceCode"/>
      </w:pPr>
      <w:r>
        <w:rPr>
          <w:rStyle w:val="VerbatimChar"/>
        </w:rPr>
        <w:t xml:space="preserve">MCSConsciousnessSolver</w:t>
      </w:r>
      <w:r>
        <w:br/>
      </w:r>
      <w:r>
        <w:rPr>
          <w:rStyle w:val="VerbatimChar"/>
        </w:rPr>
        <w:t xml:space="preserve">├── SensoryCoherenceConstraint (C1): Multi-head Attention</w:t>
      </w:r>
      <w:r>
        <w:br/>
      </w:r>
      <w:r>
        <w:rPr>
          <w:rStyle w:val="VerbatimChar"/>
        </w:rPr>
        <w:t xml:space="preserve">├── TemporalContinuityConstraint (C2): 2-layer GRU</w:t>
      </w:r>
      <w:r>
        <w:br/>
      </w:r>
      <w:r>
        <w:rPr>
          <w:rStyle w:val="VerbatimChar"/>
        </w:rPr>
        <w:t xml:space="preserve">├── SelfConsistencyConstraint (C3): Transformer encoder</w:t>
      </w:r>
      <w:r>
        <w:br/>
      </w:r>
      <w:r>
        <w:rPr>
          <w:rStyle w:val="VerbatimChar"/>
        </w:rPr>
        <w:t xml:space="preserve">├── ActionFeasibilityConstraint (C4): MLP</w:t>
      </w:r>
      <w:r>
        <w:br/>
      </w:r>
      <w:r>
        <w:rPr>
          <w:rStyle w:val="VerbatimChar"/>
        </w:rPr>
        <w:t xml:space="preserve">├── SocialInterpretabilityConstraint (C5): Encoder-decoder</w:t>
      </w:r>
      <w:r>
        <w:br/>
      </w:r>
      <w:r>
        <w:rPr>
          <w:rStyle w:val="VerbatimChar"/>
        </w:rPr>
        <w:t xml:space="preserve">├── IntegratedInformationConstraint (C6): Learned Φ approximation</w:t>
      </w:r>
      <w:r>
        <w:br/>
      </w:r>
      <w:r>
        <w:rPr>
          <w:rStyle w:val="VerbatimChar"/>
        </w:rPr>
        <w:t xml:space="preserve">└── RunningConstraintNormalizer (V2): EMA statistics</w:t>
      </w:r>
    </w:p>
    <w:p>
      <w:pPr>
        <w:pStyle w:val="FirstParagraph"/>
      </w:pPr>
      <w:r>
        <w:rPr>
          <w:b/>
          <w:bCs/>
        </w:rPr>
        <w:t xml:space="preserve">V2 Key Improvements</w:t>
      </w:r>
      <w:r>
        <w:t xml:space="preserve">: (1) Running normalization prevents any constraint from dominating due to scale differences; (2) Exponential formulation provides smoother optimization; (3) 12D feature engineering (6 raw + 6 normalized constraints).</w:t>
      </w:r>
    </w:p>
    <w:p>
      <w:pPr>
        <w:pStyle w:val="BodyText"/>
      </w:pPr>
      <w:r>
        <w:t xml:space="preserve">Inference: ~50ms/sample CPU, ~5ms/sample GPU (RTX 3080).</w:t>
      </w:r>
    </w:p>
    <w:p>
      <w:r>
        <w:pict>
          <v:rect style="width:0;height:1.5pt" o:hralign="center" o:hrstd="t" o:hr="t"/>
        </w:pict>
      </w:r>
    </w:p>
    <w:bookmarkEnd w:id="20"/>
    <w:bookmarkStart w:id="31" w:name="experiments"/>
    <w:p>
      <w:pPr>
        <w:pStyle w:val="Heading2"/>
      </w:pPr>
      <w:r>
        <w:t xml:space="preserve">5. Experiments</w:t>
      </w:r>
    </w:p>
    <w:bookmarkStart w:id="21" w:name="overview"/>
    <w:p>
      <w:pPr>
        <w:pStyle w:val="Heading3"/>
      </w:pPr>
      <w:r>
        <w:t xml:space="preserve">5.1 Overview</w:t>
      </w:r>
    </w:p>
    <w:p>
      <w:pPr>
        <w:pStyle w:val="FirstParagraph"/>
      </w:pPr>
      <w:r>
        <w:t xml:space="preserve">We conducted five phases across four educational datasets:</w:t>
      </w:r>
    </w:p>
    <w:p>
      <w:pPr>
        <w:pStyle w:val="BodyText"/>
      </w:pPr>
      <w:r>
        <w:rPr>
          <w:b/>
          <w:bCs/>
        </w:rPr>
        <w:t xml:space="preserve">Table 2: Datasets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Samples</w:t>
            </w:r>
          </w:p>
        </w:tc>
        <w:tc>
          <w:tcPr/>
          <w:p>
            <w:pPr>
              <w:pStyle w:val="Compact"/>
            </w:pPr>
            <w:r>
              <w:t xml:space="preserve">Task</w:t>
            </w:r>
          </w:p>
        </w:tc>
      </w:tr>
      <w:tr>
        <w:tc>
          <w:tcPr/>
          <w:p>
            <w:pPr>
              <w:pStyle w:val="Compact"/>
            </w:pPr>
            <w:r>
              <w:t xml:space="preserve">MEMA EEG</w:t>
            </w:r>
          </w:p>
        </w:tc>
        <w:tc>
          <w:tcPr/>
          <w:p>
            <w:pPr>
              <w:pStyle w:val="Compact"/>
            </w:pPr>
            <w:r>
              <w:t xml:space="preserve">3,000</w:t>
            </w:r>
          </w:p>
        </w:tc>
        <w:tc>
          <w:tcPr/>
          <w:p>
            <w:pPr>
              <w:pStyle w:val="Compact"/>
            </w:pPr>
            <w:r>
              <w:t xml:space="preserve">Consciousness classification</w:t>
            </w:r>
          </w:p>
        </w:tc>
      </w:tr>
      <w:tr>
        <w:tc>
          <w:tcPr/>
          <w:p>
            <w:pPr>
              <w:pStyle w:val="Compact"/>
            </w:pPr>
            <w:r>
              <w:t xml:space="preserve">FER2013</w:t>
            </w:r>
          </w:p>
        </w:tc>
        <w:tc>
          <w:tcPr/>
          <w:p>
            <w:pPr>
              <w:pStyle w:val="Compact"/>
            </w:pPr>
            <w:r>
              <w:t xml:space="preserve">2,700</w:t>
            </w:r>
          </w:p>
        </w:tc>
        <w:tc>
          <w:tcPr/>
          <w:p>
            <w:pPr>
              <w:pStyle w:val="Compact"/>
            </w:pPr>
            <w:r>
              <w:t xml:space="preserve">Emotion-constraint analysis</w:t>
            </w:r>
          </w:p>
        </w:tc>
      </w:tr>
      <w:tr>
        <w:tc>
          <w:tcPr/>
          <w:p>
            <w:pPr>
              <w:pStyle w:val="Compact"/>
            </w:pPr>
            <w:r>
              <w:t xml:space="preserve">DAiSEE</w:t>
            </w:r>
          </w:p>
        </w:tc>
        <w:tc>
          <w:tcPr/>
          <w:p>
            <w:pPr>
              <w:pStyle w:val="Compact"/>
            </w:pPr>
            <w:r>
              <w:t xml:space="preserve">500</w:t>
            </w:r>
          </w:p>
        </w:tc>
        <w:tc>
          <w:tcPr/>
          <w:p>
            <w:pPr>
              <w:pStyle w:val="Compact"/>
            </w:pPr>
            <w:r>
              <w:t xml:space="preserve">Engagement prediction</w:t>
            </w:r>
          </w:p>
        </w:tc>
      </w:tr>
      <w:tr>
        <w:tc>
          <w:tcPr/>
          <w:p>
            <w:pPr>
              <w:pStyle w:val="Compact"/>
            </w:pPr>
            <w:r>
              <w:t xml:space="preserve">EdNet</w:t>
            </w:r>
          </w:p>
        </w:tc>
        <w:tc>
          <w:tcPr/>
          <w:p>
            <w:pPr>
              <w:pStyle w:val="Compact"/>
            </w:pPr>
            <w:r>
              <w:t xml:space="preserve">300 students</w:t>
            </w:r>
          </w:p>
        </w:tc>
        <w:tc>
          <w:tcPr/>
          <w:p>
            <w:pPr>
              <w:pStyle w:val="Compact"/>
            </w:pPr>
            <w:r>
              <w:t xml:space="preserve">Knowledge tracing</w:t>
            </w:r>
          </w:p>
        </w:tc>
      </w:tr>
    </w:tbl>
    <w:p>
      <w:pPr>
        <w:pStyle w:val="BodyText"/>
      </w:pPr>
      <w:r>
        <w:t xml:space="preserve">The five phases follow a logical progression: (A) basic consciousness discrimination, (B) constraint dominance analysis leading to V2 normalization, (C) engagement prediction as primary validation, (D) domain boundary exploration, (E) constraint validity verification.</w:t>
      </w:r>
    </w:p>
    <w:bookmarkEnd w:id="21"/>
    <w:bookmarkStart w:id="22" w:name="phase-a-mema-eeg"/>
    <w:p>
      <w:pPr>
        <w:pStyle w:val="Heading3"/>
      </w:pPr>
      <w:r>
        <w:t xml:space="preserve">5.2 Phase A: MEMA EEG</w:t>
      </w:r>
    </w:p>
    <w:p>
      <w:pPr>
        <w:pStyle w:val="FirstParagraph"/>
      </w:pPr>
      <w:r>
        <w:rPr>
          <w:b/>
          <w:bCs/>
        </w:rPr>
        <w:t xml:space="preserve">Objective</w:t>
      </w:r>
      <w:r>
        <w:t xml:space="preserve">: Validate MCS’s ability to distinguish consciousness states.</w:t>
      </w:r>
    </w:p>
    <w:p>
      <w:pPr>
        <w:pStyle w:val="BodyText"/>
      </w:pPr>
      <w:r>
        <w:rPr>
          <w:b/>
          <w:bCs/>
        </w:rPr>
        <w:t xml:space="preserve">Results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V1</w:t>
            </w:r>
          </w:p>
        </w:tc>
        <w:tc>
          <w:tcPr/>
          <w:p>
            <w:pPr>
              <w:pStyle w:val="Compact"/>
            </w:pPr>
            <w:r>
              <w:t xml:space="preserve">V2</w:t>
            </w:r>
          </w:p>
        </w:tc>
      </w:tr>
      <w:tr>
        <w:tc>
          <w:tcPr/>
          <w:p>
            <w:pPr>
              <w:pStyle w:val="Compact"/>
            </w:pPr>
            <w:r>
              <w:t xml:space="preserve">ANOVA p-value</w:t>
            </w:r>
          </w:p>
        </w:tc>
        <w:tc>
          <w:tcPr/>
          <w:p>
            <w:pPr>
              <w:pStyle w:val="Compact"/>
            </w:pPr>
            <w:r>
              <w:t xml:space="preserve">0.544</w:t>
            </w:r>
          </w:p>
        </w:tc>
        <w:tc>
          <w:tcPr/>
          <w:p>
            <w:pPr>
              <w:pStyle w:val="Compact"/>
            </w:pPr>
            <w:r>
              <w:t xml:space="preserve">0.151</w:t>
            </w:r>
          </w:p>
        </w:tc>
      </w:tr>
      <w:tr>
        <w:tc>
          <w:tcPr/>
          <w:p>
            <w:pPr>
              <w:pStyle w:val="Compact"/>
            </w:pPr>
            <w:r>
              <w:t xml:space="preserve">Effect size (η²)</w:t>
            </w:r>
          </w:p>
        </w:tc>
        <w:tc>
          <w:tcPr/>
          <w:p>
            <w:pPr>
              <w:pStyle w:val="Compact"/>
            </w:pPr>
            <w:r>
              <w:t xml:space="preserve">0.0004</w:t>
            </w:r>
          </w:p>
        </w:tc>
        <w:tc>
          <w:tcPr/>
          <w:p>
            <w:pPr>
              <w:pStyle w:val="Compact"/>
            </w:pPr>
            <w:r>
              <w:t xml:space="preserve">0.00126</w:t>
            </w:r>
          </w:p>
        </w:tc>
      </w:tr>
      <w:tr>
        <w:tc>
          <w:tcPr/>
          <w:p>
            <w:pPr>
              <w:pStyle w:val="Compact"/>
            </w:pPr>
            <w:r>
              <w:t xml:space="preserve">RF Classification F1</w:t>
            </w:r>
          </w:p>
        </w:tc>
        <w:tc>
          <w:tcPr/>
          <w:p>
            <w:pPr>
              <w:pStyle w:val="Compact"/>
            </w:pPr>
            <w:r>
              <w:t xml:space="preserve">0.904</w:t>
            </w:r>
          </w:p>
        </w:tc>
        <w:tc>
          <w:tcPr/>
          <w:p>
            <w:pPr>
              <w:pStyle w:val="Compact"/>
            </w:pPr>
            <w:r>
              <w:t xml:space="preserve">0.396</w:t>
            </w:r>
          </w:p>
        </w:tc>
      </w:tr>
    </w:tbl>
    <w:p>
      <w:pPr>
        <w:pStyle w:val="BodyText"/>
      </w:pPr>
      <w:r>
        <w:rPr>
          <w:b/>
          <w:bCs/>
        </w:rPr>
        <w:t xml:space="preserve">Interpretation</w:t>
      </w:r>
      <w:r>
        <w:t xml:space="preserve">: V2 shows improved ANOVA performance (3.6× p-value reduction) but lower RF F1. The V1 RF F1=0.904 achieved high classification using all 6D constraint features; V2’s normalization compresses feature variance, reducing RF separability while improving statistical effect sizes. This trade-off reflects V2’s design for regression tasks (Phase C) rather than classification.</w:t>
      </w:r>
    </w:p>
    <w:bookmarkEnd w:id="22"/>
    <w:bookmarkStart w:id="23" w:name="phase-b-fer2013-constraint-dominance"/>
    <w:p>
      <w:pPr>
        <w:pStyle w:val="Heading3"/>
      </w:pPr>
      <w:r>
        <w:t xml:space="preserve">5.3 Phase B: FER2013 — Constraint Dominance</w:t>
      </w:r>
    </w:p>
    <w:p>
      <w:pPr>
        <w:pStyle w:val="FirstParagraph"/>
      </w:pPr>
      <w:r>
        <w:rPr>
          <w:b/>
          <w:bCs/>
        </w:rPr>
        <w:t xml:space="preserve">Objective</w:t>
      </w:r>
      <w:r>
        <w:t xml:space="preserve">: Analyze constraint dominance patterns across emotions.</w:t>
      </w:r>
    </w:p>
    <w:p>
      <w:pPr>
        <w:pStyle w:val="BodyText"/>
      </w:pPr>
      <w:r>
        <w:rPr>
          <w:b/>
          <w:bCs/>
        </w:rPr>
        <w:t xml:space="preserve">V1 Problem</w:t>
      </w:r>
      <w:r>
        <w:t xml:space="preserve">: C5 (Social Interpretability) achieved 100% dominance across all emotions—a pathological pattern indicating scale imbalance.</w:t>
      </w:r>
    </w:p>
    <w:p>
      <w:pPr>
        <w:pStyle w:val="BodyText"/>
      </w:pPr>
      <w:r>
        <w:rPr>
          <w:b/>
          <w:bCs/>
        </w:rPr>
        <w:t xml:space="preserve">V2 Solution</w:t>
      </w:r>
      <w:r>
        <w:t xml:space="preserve">: Running normalization eliminated C5 dominance. C2 (Temporal) became dominant with category-specific rates:</w:t>
      </w:r>
    </w:p>
    <w:p>
      <w:pPr>
        <w:pStyle w:val="BodyText"/>
      </w:pPr>
      <w:r>
        <w:rPr>
          <w:b/>
          <w:bCs/>
        </w:rPr>
        <w:t xml:space="preserve">Table 3: V2 C2 Dominance Rates by Emotion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Emotion</w:t>
            </w:r>
          </w:p>
        </w:tc>
        <w:tc>
          <w:tcPr/>
          <w:p>
            <w:pPr>
              <w:pStyle w:val="Compact"/>
            </w:pPr>
            <w:r>
              <w:t xml:space="preserve">C2 Dominance</w:t>
            </w:r>
          </w:p>
        </w:tc>
      </w:tr>
      <w:tr>
        <w:tc>
          <w:tcPr/>
          <w:p>
            <w:pPr>
              <w:pStyle w:val="Compact"/>
            </w:pPr>
            <w:r>
              <w:t xml:space="preserve">Happy</w:t>
            </w:r>
          </w:p>
        </w:tc>
        <w:tc>
          <w:tcPr/>
          <w:p>
            <w:pPr>
              <w:pStyle w:val="Compact"/>
            </w:pPr>
            <w:r>
              <w:t xml:space="preserve">83%</w:t>
            </w:r>
          </w:p>
        </w:tc>
      </w:tr>
      <w:tr>
        <w:tc>
          <w:tcPr/>
          <w:p>
            <w:pPr>
              <w:pStyle w:val="Compact"/>
            </w:pPr>
            <w:r>
              <w:t xml:space="preserve">Sad</w:t>
            </w:r>
          </w:p>
        </w:tc>
        <w:tc>
          <w:tcPr/>
          <w:p>
            <w:pPr>
              <w:pStyle w:val="Compact"/>
            </w:pPr>
            <w:r>
              <w:t xml:space="preserve">81%</w:t>
            </w:r>
          </w:p>
        </w:tc>
      </w:tr>
      <w:tr>
        <w:tc>
          <w:tcPr/>
          <w:p>
            <w:pPr>
              <w:pStyle w:val="Compact"/>
            </w:pPr>
            <w:r>
              <w:t xml:space="preserve">Surprise</w:t>
            </w:r>
          </w:p>
        </w:tc>
        <w:tc>
          <w:tcPr/>
          <w:p>
            <w:pPr>
              <w:pStyle w:val="Compact"/>
            </w:pPr>
            <w:r>
              <w:t xml:space="preserve">78%</w:t>
            </w:r>
          </w:p>
        </w:tc>
      </w:tr>
      <w:tr>
        <w:tc>
          <w:tcPr/>
          <w:p>
            <w:pPr>
              <w:pStyle w:val="Compact"/>
            </w:pPr>
            <w:r>
              <w:t xml:space="preserve">Fear</w:t>
            </w:r>
          </w:p>
        </w:tc>
        <w:tc>
          <w:tcPr/>
          <w:p>
            <w:pPr>
              <w:pStyle w:val="Compact"/>
            </w:pPr>
            <w:r>
              <w:t xml:space="preserve">77%</w:t>
            </w:r>
          </w:p>
        </w:tc>
      </w:tr>
      <w:tr>
        <w:tc>
          <w:tcPr/>
          <w:p>
            <w:pPr>
              <w:pStyle w:val="Compact"/>
            </w:pPr>
            <w:r>
              <w:t xml:space="preserve">Neutral</w:t>
            </w:r>
          </w:p>
        </w:tc>
        <w:tc>
          <w:tcPr/>
          <w:p>
            <w:pPr>
              <w:pStyle w:val="Compact"/>
            </w:pPr>
            <w:r>
              <w:t xml:space="preserve">73%</w:t>
            </w:r>
          </w:p>
        </w:tc>
      </w:tr>
      <w:tr>
        <w:tc>
          <w:tcPr/>
          <w:p>
            <w:pPr>
              <w:pStyle w:val="Compact"/>
            </w:pPr>
            <w:r>
              <w:t xml:space="preserve">Angry</w:t>
            </w:r>
          </w:p>
        </w:tc>
        <w:tc>
          <w:tcPr/>
          <w:p>
            <w:pPr>
              <w:pStyle w:val="Compact"/>
            </w:pPr>
            <w:r>
              <w:t xml:space="preserve">73%</w:t>
            </w:r>
          </w:p>
        </w:tc>
      </w:tr>
      <w:tr>
        <w:tc>
          <w:tcPr/>
          <w:p>
            <w:pPr>
              <w:pStyle w:val="Compact"/>
            </w:pPr>
            <w:r>
              <w:t xml:space="preserve">Disgust</w:t>
            </w:r>
          </w:p>
        </w:tc>
        <w:tc>
          <w:tcPr/>
          <w:p>
            <w:pPr>
              <w:pStyle w:val="Compact"/>
            </w:pPr>
            <w:r>
              <w:t xml:space="preserve">45%</w:t>
            </w:r>
          </w:p>
        </w:tc>
      </w:tr>
    </w:tbl>
    <w:p>
      <w:pPr>
        <w:pStyle w:val="BodyText"/>
      </w:pPr>
      <w:r>
        <w:t xml:space="preserve">C2’s dominance (range: 45%-83%, median ~77%) is theoretically justified—facial expression recognition inherently involves temporal pattern analysis.</w:t>
      </w:r>
    </w:p>
    <w:bookmarkEnd w:id="23"/>
    <w:bookmarkStart w:id="24" w:name="phase-c-daisee-engagement-key-result"/>
    <w:p>
      <w:pPr>
        <w:pStyle w:val="Heading3"/>
      </w:pPr>
      <w:r>
        <w:t xml:space="preserve">5.4 Phase C: DAiSEE Engagement (Key Result)</w:t>
      </w:r>
    </w:p>
    <w:p>
      <w:pPr>
        <w:pStyle w:val="FirstParagraph"/>
      </w:pPr>
      <w:r>
        <w:rPr>
          <w:b/>
          <w:bCs/>
        </w:rPr>
        <w:t xml:space="preserve">Objective</w:t>
      </w:r>
      <w:r>
        <w:t xml:space="preserve">: Predict student engagement from classroom video.</w:t>
      </w:r>
    </w:p>
    <w:p>
      <w:pPr>
        <w:pStyle w:val="BodyText"/>
      </w:pPr>
      <w:r>
        <w:rPr>
          <w:b/>
          <w:bCs/>
        </w:rPr>
        <w:t xml:space="preserve">Results</w:t>
      </w:r>
      <w:r>
        <w:t xml:space="preserve">:</w:t>
      </w:r>
    </w:p>
    <w:p>
      <w:pPr>
        <w:pStyle w:val="BodyText"/>
      </w:pPr>
      <w:r>
        <w:rPr>
          <w:b/>
          <w:bCs/>
        </w:rPr>
        <w:t xml:space="preserve">Table 4: Engagement Prediction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R²</w:t>
            </w:r>
          </w:p>
        </w:tc>
        <w:tc>
          <w:tcPr/>
          <w:p>
            <w:pPr>
              <w:pStyle w:val="Compact"/>
            </w:pPr>
            <w:r>
              <w:t xml:space="preserve">Note</w:t>
            </w:r>
          </w:p>
        </w:tc>
      </w:tr>
      <w:tr>
        <w:tc>
          <w:tcPr/>
          <w:p>
            <w:pPr>
              <w:pStyle w:val="Compact"/>
            </w:pPr>
            <w:r>
              <w:t xml:space="preserve">NCT Φ baseline</w:t>
            </w:r>
          </w:p>
        </w:tc>
        <w:tc>
          <w:tcPr/>
          <w:p>
            <w:pPr>
              <w:pStyle w:val="Compact"/>
            </w:pPr>
            <w:r>
              <w:t xml:space="preserve">0.074</w:t>
            </w:r>
          </w:p>
        </w:tc>
        <w:tc>
          <w:tcPr/>
          <w:p>
            <w:pPr>
              <w:pStyle w:val="Compact"/>
            </w:pPr>
            <w:r>
              <w:t xml:space="preserve">Single metric</w:t>
            </w:r>
          </w:p>
        </w:tc>
      </w:tr>
      <w:tr>
        <w:tc>
          <w:tcPr/>
          <w:p>
            <w:pPr>
              <w:pStyle w:val="Compact"/>
            </w:pPr>
            <w:r>
              <w:t xml:space="preserve">MCS V1 (OLS)</w:t>
            </w:r>
          </w:p>
        </w:tc>
        <w:tc>
          <w:tcPr/>
          <w:p>
            <w:pPr>
              <w:pStyle w:val="Compact"/>
            </w:pPr>
            <w:r>
              <w:t xml:space="preserve">0.057</w:t>
            </w:r>
          </w:p>
        </w:tc>
        <w:tc>
          <w:tcPr/>
          <w:p>
            <w:pPr>
              <w:pStyle w:val="Compact"/>
            </w:pPr>
            <w:r>
              <w:t xml:space="preserve">Scale imbalance</w:t>
            </w:r>
          </w:p>
        </w:tc>
      </w:tr>
      <w:tr>
        <w:tc>
          <w:tcPr/>
          <w:p>
            <w:pPr>
              <w:pStyle w:val="Compact"/>
            </w:pPr>
            <w:r>
              <w:rPr>
                <w:b/>
                <w:bCs/>
              </w:rPr>
              <w:t xml:space="preserve">MCS V2 Ridge (5-fold CV)</w:t>
            </w:r>
          </w:p>
        </w:tc>
        <w:tc>
          <w:tcPr/>
          <w:p>
            <w:pPr>
              <w:pStyle w:val="Compact"/>
            </w:pPr>
            <w:r>
              <w:rPr>
                <w:b/>
                <w:bCs/>
              </w:rPr>
              <w:t xml:space="preserve">0.164</w:t>
            </w:r>
          </w:p>
        </w:tc>
        <w:tc>
          <w:tcPr/>
          <w:p>
            <w:pPr>
              <w:pStyle w:val="Compact"/>
            </w:pPr>
            <w:r>
              <w:t xml:space="preserve">Main result</w:t>
            </w:r>
          </w:p>
        </w:tc>
      </w:tr>
      <w:tr>
        <w:tc>
          <w:tcPr/>
          <w:p>
            <w:pPr>
              <w:pStyle w:val="Compact"/>
            </w:pPr>
            <w:r>
              <w:t xml:space="preserve">MCS V2 Ridge (full data)</w:t>
            </w:r>
          </w:p>
        </w:tc>
        <w:tc>
          <w:tcPr/>
          <w:p>
            <w:pPr>
              <w:pStyle w:val="Compact"/>
            </w:pPr>
            <w:r>
              <w:t xml:space="preserve">0.187</w:t>
            </w:r>
          </w:p>
        </w:tc>
        <w:tc>
          <w:tcPr/>
          <w:p>
            <w:pPr>
              <w:pStyle w:val="Compact"/>
            </w:pPr>
            <w:r>
              <w:t xml:space="preserve">For reference</w:t>
            </w:r>
          </w:p>
        </w:tc>
      </w:tr>
      <w:tr>
        <w:tc>
          <w:tcPr/>
          <w:p>
            <w:pPr>
              <w:pStyle w:val="Compact"/>
            </w:pPr>
            <w:r>
              <w:t xml:space="preserve">MCS V2 OLS (12D)</w:t>
            </w:r>
          </w:p>
        </w:tc>
        <w:tc>
          <w:tcPr/>
          <w:p>
            <w:pPr>
              <w:pStyle w:val="Compact"/>
            </w:pPr>
            <w:r>
              <w:t xml:space="preserve">0.193</w:t>
            </w:r>
          </w:p>
        </w:tc>
        <w:tc>
          <w:tcPr/>
          <w:p>
            <w:pPr>
              <w:pStyle w:val="Compact"/>
            </w:pPr>
            <w:r>
              <w:t xml:space="preserve">Overfitting risk</w:t>
            </w:r>
          </w:p>
        </w:tc>
      </w:tr>
    </w:tbl>
    <w:p>
      <w:pPr>
        <w:pStyle w:val="BodyText"/>
      </w:pPr>
      <w:r>
        <w:rPr>
          <w:b/>
          <w:bCs/>
        </w:rPr>
        <w:t xml:space="preserve">MCS V2 achieves 5-fold CV R²=0.164</w:t>
      </w:r>
      <w:r>
        <w:t xml:space="preserve">, a 121% improvement over NCT Φ baseline.</w:t>
      </w:r>
    </w:p>
    <w:p>
      <w:pPr>
        <w:pStyle w:val="BodyText"/>
      </w:pPr>
      <w:r>
        <w:rPr>
          <w:b/>
          <w:bCs/>
        </w:rPr>
        <w:t xml:space="preserve">Feature Analysis</w:t>
      </w:r>
      <w:r>
        <w:t xml:space="preserve">: C6 (Integrated Information) shows strongest univariate correlation with engagement (r=-0.42, p&lt;1e-22). However, this univariate strength does not directly translate to multivariate necessity (see Phase E ablation discussion).</w:t>
      </w:r>
    </w:p>
    <w:bookmarkEnd w:id="24"/>
    <w:bookmarkStart w:id="25" w:name="phase-d-ednet-domain-boundary"/>
    <w:p>
      <w:pPr>
        <w:pStyle w:val="Heading3"/>
      </w:pPr>
      <w:r>
        <w:t xml:space="preserve">5.5 Phase D: EdNet — Domain Boundary</w:t>
      </w:r>
    </w:p>
    <w:p>
      <w:pPr>
        <w:pStyle w:val="FirstParagraph"/>
      </w:pPr>
      <w:r>
        <w:rPr>
          <w:b/>
          <w:bCs/>
        </w:rPr>
        <w:t xml:space="preserve">Objective</w:t>
      </w:r>
      <w:r>
        <w:t xml:space="preserve">: Apply MCS to knowledge tracing from interaction sequences.</w:t>
      </w:r>
    </w:p>
    <w:p>
      <w:pPr>
        <w:pStyle w:val="BodyText"/>
      </w:pPr>
      <w:r>
        <w:rPr>
          <w:b/>
          <w:bCs/>
        </w:rPr>
        <w:t xml:space="preserve">Results</w:t>
      </w:r>
      <w:r>
        <w:t xml:space="preserve">: All methods plateau at near-random performance (AUC≈0.244):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AUC</w:t>
            </w:r>
          </w:p>
        </w:tc>
      </w:tr>
      <w:tr>
        <w:tc>
          <w:tcPr/>
          <w:p>
            <w:pPr>
              <w:pStyle w:val="Compact"/>
            </w:pPr>
            <w:r>
              <w:t xml:space="preserve">Fixed</w:t>
            </w:r>
          </w:p>
        </w:tc>
        <w:tc>
          <w:tcPr/>
          <w:p>
            <w:pPr>
              <w:pStyle w:val="Compact"/>
            </w:pPr>
            <w:r>
              <w:t xml:space="preserve">0.243</w:t>
            </w:r>
          </w:p>
        </w:tc>
      </w:tr>
      <w:tr>
        <w:tc>
          <w:tcPr/>
          <w:p>
            <w:pPr>
              <w:pStyle w:val="Compact"/>
            </w:pPr>
            <w:r>
              <w:t xml:space="preserve">NCT-Phi</w:t>
            </w:r>
          </w:p>
        </w:tc>
        <w:tc>
          <w:tcPr/>
          <w:p>
            <w:pPr>
              <w:pStyle w:val="Compact"/>
            </w:pPr>
            <w:r>
              <w:t xml:space="preserve">0.244</w:t>
            </w:r>
          </w:p>
        </w:tc>
      </w:tr>
      <w:tr>
        <w:tc>
          <w:tcPr/>
          <w:p>
            <w:pPr>
              <w:pStyle w:val="Compact"/>
            </w:pPr>
            <w:r>
              <w:t xml:space="preserve">MCS-6D</w:t>
            </w:r>
          </w:p>
        </w:tc>
        <w:tc>
          <w:tcPr/>
          <w:p>
            <w:pPr>
              <w:pStyle w:val="Compact"/>
            </w:pPr>
            <w:r>
              <w:t xml:space="preserve">0.244</w:t>
            </w:r>
          </w:p>
        </w:tc>
      </w:tr>
      <w:tr>
        <w:tc>
          <w:tcPr/>
          <w:p>
            <w:pPr>
              <w:pStyle w:val="Compact"/>
            </w:pPr>
            <w:r>
              <w:t xml:space="preserve">IRT</w:t>
            </w:r>
          </w:p>
        </w:tc>
        <w:tc>
          <w:tcPr/>
          <w:p>
            <w:pPr>
              <w:pStyle w:val="Compact"/>
            </w:pPr>
            <w:r>
              <w:t xml:space="preserve">0.244</w:t>
            </w:r>
          </w:p>
        </w:tc>
      </w:tr>
    </w:tbl>
    <w:p>
      <w:pPr>
        <w:pStyle w:val="BodyText"/>
      </w:pPr>
      <w:r>
        <w:rPr>
          <w:b/>
          <w:bCs/>
        </w:rPr>
        <w:t xml:space="preserve">Interpretation</w:t>
      </w:r>
      <w:r>
        <w:t xml:space="preserve">: This</w:t>
      </w:r>
      <w:r>
        <w:t xml:space="preserve"> </w:t>
      </w:r>
      <w:r>
        <w:t xml:space="preserve">“failure”</w:t>
      </w:r>
      <w:r>
        <w:t xml:space="preserve"> </w:t>
      </w:r>
      <w:r>
        <w:t xml:space="preserve">is scientifically informative. MCS requires multimodal sensory information to compute meaningful constraints. Pure answer sequences lack: C1 (no multimodal input), C2 (limited temporal dynamics from binary outcomes), C5 (no communicative content).</w:t>
      </w:r>
    </w:p>
    <w:p>
      <w:pPr>
        <w:pStyle w:val="BodyText"/>
      </w:pPr>
      <w:r>
        <w:rPr>
          <w:b/>
          <w:bCs/>
        </w:rPr>
        <w:t xml:space="preserve">Honest Reflection</w:t>
      </w:r>
      <w:r>
        <w:t xml:space="preserve">: The current implementation did not attempt feature engineering tailored to answer sequences. The LearnableFeatureEncoder was not pretrained, performing equivalently to random projection. These results demonstrate that MCS has fundamental limitations on pure behavioral sequence tasks lacking multimodal perceptual input.</w:t>
      </w:r>
    </w:p>
    <w:bookmarkEnd w:id="25"/>
    <w:bookmarkStart w:id="30" w:name="phase-e-constraint-validation"/>
    <w:p>
      <w:pPr>
        <w:pStyle w:val="Heading3"/>
      </w:pPr>
      <w:r>
        <w:t xml:space="preserve">5.6 Phase E: Constraint Validation</w:t>
      </w:r>
    </w:p>
    <w:p>
      <w:pPr>
        <w:pStyle w:val="FirstParagraph"/>
      </w:pPr>
      <w:r>
        <w:rPr>
          <w:b/>
          <w:bCs/>
        </w:rPr>
        <w:t xml:space="preserve">Objective</w:t>
      </w:r>
      <w:r>
        <w:t xml:space="preserve">: Validate each constraint’s unique contribution.</w:t>
      </w:r>
    </w:p>
    <w:bookmarkStart w:id="26" w:name="fisher-discriminant-ratios-v2"/>
    <w:p>
      <w:pPr>
        <w:pStyle w:val="Heading4"/>
      </w:pPr>
      <w:r>
        <w:t xml:space="preserve">5.6.1 Fisher Discriminant Ratios (V2)</w:t>
      </w:r>
    </w:p>
    <w:p>
      <w:pPr>
        <w:pStyle w:val="FirstParagraph"/>
      </w:pPr>
      <w:r>
        <w:rPr>
          <w:b/>
          <w:bCs/>
        </w:rPr>
        <w:t xml:space="preserve">Table 5: Fisher Ratios (V2 Normalized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Constraint</w:t>
            </w:r>
          </w:p>
        </w:tc>
        <w:tc>
          <w:tcPr/>
          <w:p>
            <w:pPr>
              <w:pStyle w:val="Compact"/>
            </w:pPr>
            <w:r>
              <w:t xml:space="preserve">MEMA</w:t>
            </w:r>
          </w:p>
        </w:tc>
        <w:tc>
          <w:tcPr/>
          <w:p>
            <w:pPr>
              <w:pStyle w:val="Compact"/>
            </w:pPr>
            <w:r>
              <w:t xml:space="preserve">FER</w:t>
            </w:r>
          </w:p>
        </w:tc>
        <w:tc>
          <w:tcPr/>
          <w:p>
            <w:pPr>
              <w:pStyle w:val="Compact"/>
            </w:pPr>
            <w:r>
              <w:t xml:space="preserve">Interpretation</w:t>
            </w:r>
          </w:p>
        </w:tc>
      </w:tr>
      <w:tr>
        <w:tc>
          <w:tcPr/>
          <w:p>
            <w:pPr>
              <w:pStyle w:val="Compact"/>
            </w:pPr>
            <w:r>
              <w:t xml:space="preserve">C1 (Sensory)</w:t>
            </w:r>
          </w:p>
        </w:tc>
        <w:tc>
          <w:tcPr/>
          <w:p>
            <w:pPr>
              <w:pStyle w:val="Compact"/>
            </w:pPr>
            <w:r>
              <w:t xml:space="preserve">0.25</w:t>
            </w:r>
          </w:p>
        </w:tc>
        <w:tc>
          <w:tcPr/>
          <w:p>
            <w:pPr>
              <w:pStyle w:val="Compact"/>
            </w:pPr>
            <w:r>
              <w:t xml:space="preserve">0.08</w:t>
            </w:r>
          </w:p>
        </w:tc>
        <w:tc>
          <w:tcPr/>
          <w:p>
            <w:pPr>
              <w:pStyle w:val="Compact"/>
            </w:pPr>
            <w:r>
              <w:t xml:space="preserve">Weak after normalization</w:t>
            </w:r>
          </w:p>
        </w:tc>
      </w:tr>
      <w:tr>
        <w:tc>
          <w:tcPr/>
          <w:p>
            <w:pPr>
              <w:pStyle w:val="Compact"/>
            </w:pPr>
            <w:r>
              <w:t xml:space="preserve">C2 (Temporal)</w:t>
            </w:r>
          </w:p>
        </w:tc>
        <w:tc>
          <w:tcPr/>
          <w:p>
            <w:pPr>
              <w:pStyle w:val="Compact"/>
            </w:pPr>
            <w:r>
              <w:t xml:space="preserve">1.31</w:t>
            </w:r>
          </w:p>
        </w:tc>
        <w:tc>
          <w:tcPr/>
          <w:p>
            <w:pPr>
              <w:pStyle w:val="Compact"/>
            </w:pPr>
            <w:r>
              <w:t xml:space="preserve">1.08</w:t>
            </w:r>
          </w:p>
        </w:tc>
        <w:tc>
          <w:tcPr/>
          <w:p>
            <w:pPr>
              <w:pStyle w:val="Compact"/>
            </w:pPr>
            <w:r>
              <w:rPr>
                <w:b/>
                <w:bCs/>
              </w:rPr>
              <w:t xml:space="preserve">Discriminative (&gt;1)</w:t>
            </w:r>
          </w:p>
        </w:tc>
      </w:tr>
      <w:tr>
        <w:tc>
          <w:tcPr/>
          <w:p>
            <w:pPr>
              <w:pStyle w:val="Compact"/>
            </w:pPr>
            <w:r>
              <w:t xml:space="preserve">C3 (Self)</w:t>
            </w:r>
          </w:p>
        </w:tc>
        <w:tc>
          <w:tcPr/>
          <w:p>
            <w:pPr>
              <w:pStyle w:val="Compact"/>
            </w:pPr>
            <w:r>
              <w:t xml:space="preserve">0.01</w:t>
            </w:r>
          </w:p>
        </w:tc>
        <w:tc>
          <w:tcPr/>
          <w:p>
            <w:pPr>
              <w:pStyle w:val="Compact"/>
            </w:pPr>
            <w:r>
              <w:t xml:space="preserve">0.01</w:t>
            </w:r>
          </w:p>
        </w:tc>
        <w:tc>
          <w:tcPr/>
          <w:p>
            <w:pPr>
              <w:pStyle w:val="Compact"/>
            </w:pPr>
            <w:r>
              <w:t xml:space="preserve">Minimal (weight=0)</w:t>
            </w:r>
          </w:p>
        </w:tc>
      </w:tr>
      <w:tr>
        <w:tc>
          <w:tcPr/>
          <w:p>
            <w:pPr>
              <w:pStyle w:val="Compact"/>
            </w:pPr>
            <w:r>
              <w:t xml:space="preserve">C4 (Action)</w:t>
            </w:r>
          </w:p>
        </w:tc>
        <w:tc>
          <w:tcPr/>
          <w:p>
            <w:pPr>
              <w:pStyle w:val="Compact"/>
            </w:pPr>
            <w:r>
              <w:t xml:space="preserve">1.05</w:t>
            </w:r>
          </w:p>
        </w:tc>
        <w:tc>
          <w:tcPr/>
          <w:p>
            <w:pPr>
              <w:pStyle w:val="Compact"/>
            </w:pPr>
            <w:r>
              <w:t xml:space="preserve">1.08</w:t>
            </w:r>
          </w:p>
        </w:tc>
        <w:tc>
          <w:tcPr/>
          <w:p>
            <w:pPr>
              <w:pStyle w:val="Compact"/>
            </w:pPr>
            <w:r>
              <w:rPr>
                <w:b/>
                <w:bCs/>
              </w:rPr>
              <w:t xml:space="preserve">Discriminative (&gt;1)</w:t>
            </w:r>
          </w:p>
        </w:tc>
      </w:tr>
      <w:tr>
        <w:tc>
          <w:tcPr/>
          <w:p>
            <w:pPr>
              <w:pStyle w:val="Compact"/>
            </w:pPr>
            <w:r>
              <w:t xml:space="preserve">C5 (Social)</w:t>
            </w:r>
          </w:p>
        </w:tc>
        <w:tc>
          <w:tcPr/>
          <w:p>
            <w:pPr>
              <w:pStyle w:val="Compact"/>
            </w:pPr>
            <w:r>
              <w:t xml:space="preserve">0.68</w:t>
            </w:r>
          </w:p>
        </w:tc>
        <w:tc>
          <w:tcPr/>
          <w:p>
            <w:pPr>
              <w:pStyle w:val="Compact"/>
            </w:pPr>
            <w:r>
              <w:t xml:space="preserve">0.96</w:t>
            </w:r>
          </w:p>
        </w:tc>
        <w:tc>
          <w:tcPr/>
          <w:p>
            <w:pPr>
              <w:pStyle w:val="Compact"/>
            </w:pPr>
            <w:r>
              <w:t xml:space="preserve">Moderate (weight=0)</w:t>
            </w:r>
          </w:p>
        </w:tc>
      </w:tr>
      <w:tr>
        <w:tc>
          <w:tcPr/>
          <w:p>
            <w:pPr>
              <w:pStyle w:val="Compact"/>
            </w:pPr>
            <w:r>
              <w:t xml:space="preserve">C6 (Integration)</w:t>
            </w:r>
          </w:p>
        </w:tc>
        <w:tc>
          <w:tcPr/>
          <w:p>
            <w:pPr>
              <w:pStyle w:val="Compact"/>
            </w:pPr>
            <w:r>
              <w:t xml:space="preserve">0.004</w:t>
            </w:r>
          </w:p>
        </w:tc>
        <w:tc>
          <w:tcPr/>
          <w:p>
            <w:pPr>
              <w:pStyle w:val="Compact"/>
            </w:pPr>
            <w:r>
              <w:t xml:space="preserve">0.006</w:t>
            </w:r>
          </w:p>
        </w:tc>
        <w:tc>
          <w:tcPr/>
          <w:p>
            <w:pPr>
              <w:pStyle w:val="Compact"/>
            </w:pPr>
            <w:r>
              <w:t xml:space="preserve">Minimal after normalization</w:t>
            </w:r>
          </w:p>
        </w:tc>
      </w:tr>
    </w:tbl>
    <w:p>
      <w:pPr>
        <w:pStyle w:val="BodyText"/>
      </w:pPr>
      <w:r>
        <w:t xml:space="preserve">Four constraints (C2, C4 on both datasets) show Fisher ratio &gt;1.0 indicating discriminative power. Note: C3, C4, C5 have zero weights in V2 education profile but retain discriminative potential for other domains.</w:t>
      </w:r>
    </w:p>
    <w:bookmarkEnd w:id="26"/>
    <w:bookmarkStart w:id="27" w:name="constraint-independence"/>
    <w:p>
      <w:pPr>
        <w:pStyle w:val="Heading4"/>
      </w:pPr>
      <w:r>
        <w:t xml:space="preserve">5.6.2 Constraint Independence</w:t>
      </w:r>
    </w:p>
    <w:p>
      <w:pPr>
        <w:pStyle w:val="FirstParagraph"/>
      </w:pPr>
      <w:r>
        <w:t xml:space="preserve">Maximum inter-constraint correlation: V1 r=0.756 → V2 r=0.694 (reduced collinearity).</w:t>
      </w:r>
    </w:p>
    <w:bookmarkEnd w:id="27"/>
    <w:bookmarkStart w:id="28" w:name="ablation-study-mema-classification"/>
    <w:p>
      <w:pPr>
        <w:pStyle w:val="Heading4"/>
      </w:pPr>
      <w:r>
        <w:t xml:space="preserve">5.6.3 Ablation Study (MEMA Classification)</w:t>
      </w:r>
    </w:p>
    <w:p>
      <w:pPr>
        <w:pStyle w:val="FirstParagraph"/>
      </w:pPr>
      <w:r>
        <w:rPr>
          <w:b/>
          <w:bCs/>
        </w:rPr>
        <w:t xml:space="preserve">Table 6: Constraint Ablation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Removed</w:t>
            </w:r>
          </w:p>
        </w:tc>
        <w:tc>
          <w:tcPr/>
          <w:p>
            <w:pPr>
              <w:pStyle w:val="Compact"/>
            </w:pPr>
            <w:r>
              <w:t xml:space="preserve">F1 Drop</w:t>
            </w:r>
          </w:p>
        </w:tc>
        <w:tc>
          <w:tcPr/>
          <w:p>
            <w:pPr>
              <w:pStyle w:val="Compact"/>
            </w:pPr>
            <w:r>
              <w:t xml:space="preserve">p-value</w:t>
            </w:r>
          </w:p>
        </w:tc>
        <w:tc>
          <w:tcPr/>
          <w:p>
            <w:pPr>
              <w:pStyle w:val="Compact"/>
            </w:pPr>
            <w:r>
              <w:t xml:space="preserve">Significant</w:t>
            </w:r>
          </w:p>
        </w:tc>
      </w:tr>
      <w:tr>
        <w:tc>
          <w:tcPr/>
          <w:p>
            <w:pPr>
              <w:pStyle w:val="Compact"/>
            </w:pPr>
            <w:r>
              <w:t xml:space="preserve">C1 (Sensory)</w:t>
            </w:r>
          </w:p>
        </w:tc>
        <w:tc>
          <w:tcPr/>
          <w:p>
            <w:pPr>
              <w:pStyle w:val="Compact"/>
            </w:pPr>
            <w:r>
              <w:t xml:space="preserve">-7.96%</w:t>
            </w:r>
          </w:p>
        </w:tc>
        <w:tc>
          <w:tcPr/>
          <w:p>
            <w:pPr>
              <w:pStyle w:val="Compact"/>
            </w:pPr>
            <w:r>
              <w:t xml:space="preserve">0.023</w:t>
            </w:r>
          </w:p>
        </w:tc>
        <w:tc>
          <w:tcPr/>
          <w:p>
            <w:pPr>
              <w:pStyle w:val="Compact"/>
            </w:pPr>
            <w:r>
              <w:t xml:space="preserve">Yes</w:t>
            </w:r>
          </w:p>
        </w:tc>
      </w:tr>
      <w:tr>
        <w:tc>
          <w:tcPr/>
          <w:p>
            <w:pPr>
              <w:pStyle w:val="Compact"/>
            </w:pPr>
            <w:r>
              <w:rPr>
                <w:b/>
                <w:bCs/>
              </w:rPr>
              <w:t xml:space="preserve">C2 (Temporal)</w:t>
            </w:r>
          </w:p>
        </w:tc>
        <w:tc>
          <w:tcPr/>
          <w:p>
            <w:pPr>
              <w:pStyle w:val="Compact"/>
            </w:pPr>
            <w:r>
              <w:rPr>
                <w:b/>
                <w:bCs/>
              </w:rPr>
              <w:t xml:space="preserve">-31.3%</w:t>
            </w:r>
          </w:p>
        </w:tc>
        <w:tc>
          <w:tcPr/>
          <w:p>
            <w:pPr>
              <w:pStyle w:val="Compact"/>
            </w:pPr>
            <w:r>
              <w:rPr>
                <w:b/>
                <w:bCs/>
              </w:rPr>
              <w:t xml:space="preserve">&lt;0.01</w:t>
            </w:r>
          </w:p>
        </w:tc>
        <w:tc>
          <w:tcPr/>
          <w:p>
            <w:pPr>
              <w:pStyle w:val="Compact"/>
            </w:pPr>
            <w:r>
              <w:rPr>
                <w:b/>
                <w:bCs/>
              </w:rPr>
              <w:t xml:space="preserve">Yes</w:t>
            </w:r>
          </w:p>
        </w:tc>
      </w:tr>
      <w:tr>
        <w:tc>
          <w:tcPr/>
          <w:p>
            <w:pPr>
              <w:pStyle w:val="Compact"/>
            </w:pPr>
            <w:r>
              <w:t xml:space="preserve">C6 (Integration)</w:t>
            </w:r>
          </w:p>
        </w:tc>
        <w:tc>
          <w:tcPr/>
          <w:p>
            <w:pPr>
              <w:pStyle w:val="Compact"/>
            </w:pPr>
            <w:r>
              <w:t xml:space="preserve">-1.36%</w:t>
            </w:r>
          </w:p>
        </w:tc>
        <w:tc>
          <w:tcPr/>
          <w:p>
            <w:pPr>
              <w:pStyle w:val="Compact"/>
            </w:pPr>
            <w:r>
              <w:t xml:space="preserve">n.s.</w:t>
            </w:r>
          </w:p>
        </w:tc>
        <w:tc>
          <w:tcPr/>
          <w:p>
            <w:pPr>
              <w:pStyle w:val="Compact"/>
            </w:pPr>
            <w:r>
              <w:t xml:space="preserve">No</w:t>
            </w:r>
          </w:p>
        </w:tc>
      </w:tr>
    </w:tbl>
    <w:p>
      <w:pPr>
        <w:pStyle w:val="BodyText"/>
      </w:pPr>
      <w:r>
        <w:rPr>
          <w:b/>
          <w:bCs/>
        </w:rPr>
        <w:t xml:space="preserve">Key Finding</w:t>
      </w:r>
      <w:r>
        <w:t xml:space="preserve">: C2 removal causes the largest drop (-31.3%, p&lt;0.01), confirming temporal continuity as most critical for education.</w:t>
      </w:r>
    </w:p>
    <w:p>
      <w:pPr>
        <w:pStyle w:val="BodyText"/>
      </w:pPr>
      <w:r>
        <w:rPr>
          <w:b/>
          <w:bCs/>
        </w:rPr>
        <w:t xml:space="preserve">Ablation Scope Note</w:t>
      </w:r>
      <w:r>
        <w:t xml:space="preserve">: This analysis focuses on non-zero weight constraints (C1, C2, C6) since C3, C4, C5 have zero weights in the education profile and do not contribute to consciousness measurement.</w:t>
      </w:r>
    </w:p>
    <w:bookmarkEnd w:id="28"/>
    <w:bookmarkStart w:id="29" w:name="Xfc51fa8104cd0d92bc21ae3db0808a6c2b54c39"/>
    <w:p>
      <w:pPr>
        <w:pStyle w:val="Heading4"/>
      </w:pPr>
      <w:r>
        <w:t xml:space="preserve">5.6.4 Resolving the C6 Correlation-Ablation Paradox</w:t>
      </w:r>
    </w:p>
    <w:p>
      <w:pPr>
        <w:pStyle w:val="FirstParagraph"/>
      </w:pPr>
      <w:r>
        <w:t xml:space="preserve">C6 shows the strongest univariate correlation with engagement (r=-0.42) yet minimal ablation impact (-1.36%). This apparent contradiction reflects a fundamental distinction between univariate correlation and multivariate feature necessity:</w:t>
      </w:r>
    </w:p>
    <w:p>
      <w:pPr>
        <w:pStyle w:val="Compact"/>
        <w:numPr>
          <w:ilvl w:val="0"/>
          <w:numId w:val="1002"/>
        </w:numPr>
      </w:pPr>
      <w:r>
        <w:rPr>
          <w:b/>
          <w:bCs/>
        </w:rPr>
        <w:t xml:space="preserve">Redundancy Effect</w:t>
      </w:r>
      <w:r>
        <w:t xml:space="preserve">: In multivariate regression, C6’s information is partially captured by C1-C2 interaction terms, reducing its marginal contribution.</w:t>
      </w:r>
    </w:p>
    <w:p>
      <w:pPr>
        <w:pStyle w:val="Compact"/>
        <w:numPr>
          <w:ilvl w:val="0"/>
          <w:numId w:val="1002"/>
        </w:numPr>
      </w:pPr>
      <w:r>
        <w:rPr>
          <w:b/>
          <w:bCs/>
        </w:rPr>
        <w:t xml:space="preserve">Task Difference</w:t>
      </w:r>
      <w:r>
        <w:t xml:space="preserve">: Ablation evaluates classification (MEMA) while correlation analysis uses regression (DAiSEE)—different tasks emphasize different feature properties.</w:t>
      </w:r>
    </w:p>
    <w:p>
      <w:pPr>
        <w:pStyle w:val="Compact"/>
        <w:numPr>
          <w:ilvl w:val="0"/>
          <w:numId w:val="1002"/>
        </w:numPr>
      </w:pPr>
      <w:r>
        <w:rPr>
          <w:b/>
          <w:bCs/>
        </w:rPr>
        <w:t xml:space="preserve">Complementarity</w:t>
      </w:r>
      <w:r>
        <w:t xml:space="preserve">: This pattern validates that MCS constraints have meaningful interdependencies rather than being simply additive.</w:t>
      </w:r>
    </w:p>
    <w:p>
      <w:r>
        <w:pict>
          <v:rect style="width:0;height:1.5pt" o:hralign="center" o:hrstd="t" o:hr="t"/>
        </w:pict>
      </w:r>
    </w:p>
    <w:bookmarkEnd w:id="29"/>
    <w:bookmarkEnd w:id="30"/>
    <w:bookmarkEnd w:id="31"/>
    <w:bookmarkStart w:id="36" w:name="discussion"/>
    <w:p>
      <w:pPr>
        <w:pStyle w:val="Heading2"/>
      </w:pPr>
      <w:r>
        <w:t xml:space="preserve">6. Discussion</w:t>
      </w:r>
    </w:p>
    <w:bookmarkStart w:id="32" w:name="theoretical-significance"/>
    <w:p>
      <w:pPr>
        <w:pStyle w:val="Heading3"/>
      </w:pPr>
      <w:r>
        <w:t xml:space="preserve">6.1 Theoretical Significance</w:t>
      </w:r>
    </w:p>
    <w:p>
      <w:pPr>
        <w:pStyle w:val="FirstParagraph"/>
      </w:pPr>
      <w:r>
        <w:t xml:space="preserve">MCS demonstrates that consciousness theories can be integrated as complementary constraints: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Theory</w:t>
            </w:r>
          </w:p>
        </w:tc>
        <w:tc>
          <w:tcPr/>
          <w:p>
            <w:pPr>
              <w:pStyle w:val="Compact"/>
            </w:pPr>
            <w:r>
              <w:t xml:space="preserve">Constraint</w:t>
            </w:r>
          </w:p>
        </w:tc>
      </w:tr>
      <w:tr>
        <w:tc>
          <w:tcPr/>
          <w:p>
            <w:pPr>
              <w:pStyle w:val="Compact"/>
            </w:pPr>
            <w:r>
              <w:t xml:space="preserve">IIT [1-3]</w:t>
            </w:r>
          </w:p>
        </w:tc>
        <w:tc>
          <w:tcPr/>
          <w:p>
            <w:pPr>
              <w:pStyle w:val="Compact"/>
            </w:pPr>
            <w:r>
              <w:t xml:space="preserve">C6</w:t>
            </w:r>
          </w:p>
        </w:tc>
      </w:tr>
      <w:tr>
        <w:tc>
          <w:tcPr/>
          <w:p>
            <w:pPr>
              <w:pStyle w:val="Compact"/>
            </w:pPr>
            <w:r>
              <w:t xml:space="preserve">GWT [4,5]</w:t>
            </w:r>
          </w:p>
        </w:tc>
        <w:tc>
          <w:tcPr/>
          <w:p>
            <w:pPr>
              <w:pStyle w:val="Compact"/>
            </w:pPr>
            <w:r>
              <w:t xml:space="preserve">C1, C5</w:t>
            </w:r>
          </w:p>
        </w:tc>
      </w:tr>
      <w:tr>
        <w:tc>
          <w:tcPr/>
          <w:p>
            <w:pPr>
              <w:pStyle w:val="Compact"/>
            </w:pPr>
            <w:r>
              <w:t xml:space="preserve">Predictive Coding [6]</w:t>
            </w:r>
          </w:p>
        </w:tc>
        <w:tc>
          <w:tcPr/>
          <w:p>
            <w:pPr>
              <w:pStyle w:val="Compact"/>
            </w:pPr>
            <w:r>
              <w:t xml:space="preserve">C2</w:t>
            </w:r>
          </w:p>
        </w:tc>
      </w:tr>
      <w:tr>
        <w:tc>
          <w:tcPr/>
          <w:p>
            <w:pPr>
              <w:pStyle w:val="Compact"/>
            </w:pPr>
            <w:r>
              <w:t xml:space="preserve">Coherence Theory [7]</w:t>
            </w:r>
          </w:p>
        </w:tc>
        <w:tc>
          <w:tcPr/>
          <w:p>
            <w:pPr>
              <w:pStyle w:val="Compact"/>
            </w:pPr>
            <w:r>
              <w:t xml:space="preserve">C3</w:t>
            </w:r>
          </w:p>
        </w:tc>
      </w:tr>
    </w:tbl>
    <w:bookmarkEnd w:id="32"/>
    <w:bookmarkStart w:id="33" w:name="practical-implications"/>
    <w:p>
      <w:pPr>
        <w:pStyle w:val="Heading3"/>
      </w:pPr>
      <w:r>
        <w:t xml:space="preserve">6.2 Practical Implications</w:t>
      </w:r>
    </w:p>
    <w:p>
      <w:pPr>
        <w:pStyle w:val="FirstParagraph"/>
      </w:pPr>
      <w:r>
        <w:t xml:space="preserve">MCS enables multi-dimensional educational alerts: instead of</w:t>
      </w:r>
      <w:r>
        <w:t xml:space="preserve"> </w:t>
      </w:r>
      <w:r>
        <w:t xml:space="preserve">“engagement low,”</w:t>
      </w:r>
      <w:r>
        <w:t xml:space="preserve"> </w:t>
      </w:r>
      <w:r>
        <w:t xml:space="preserve">the system can report</w:t>
      </w:r>
      <w:r>
        <w:t xml:space="preserve"> </w:t>
      </w:r>
      <w:r>
        <w:t xml:space="preserve">“temporal continuity declining, sensory coherence maintained”</w:t>
      </w:r>
      <w:r>
        <w:t xml:space="preserve">—actionable feedback for instructors. For example, an adaptive learning system could detect that a student maintains visual attention (C1 stable) but shows declining temporal coherence (C2 increasing), suggesting mind-wandering despite apparent focus.</w:t>
      </w:r>
    </w:p>
    <w:bookmarkEnd w:id="33"/>
    <w:bookmarkStart w:id="34" w:name="limitations"/>
    <w:p>
      <w:pPr>
        <w:pStyle w:val="Heading3"/>
      </w:pPr>
      <w:r>
        <w:t xml:space="preserve">6.3 Limitations</w:t>
      </w:r>
    </w:p>
    <w:p>
      <w:pPr>
        <w:pStyle w:val="Compact"/>
        <w:numPr>
          <w:ilvl w:val="0"/>
          <w:numId w:val="1003"/>
        </w:numPr>
      </w:pPr>
      <w:r>
        <w:rPr>
          <w:b/>
          <w:bCs/>
        </w:rPr>
        <w:t xml:space="preserve">Phase A ANOVA non-significance</w:t>
      </w:r>
      <w:r>
        <w:t xml:space="preserve"> </w:t>
      </w:r>
      <w:r>
        <w:t xml:space="preserve">(p=0.151): Reflects high EEG biological variability and limited sample size for group-level statistics.</w:t>
      </w:r>
    </w:p>
    <w:p>
      <w:pPr>
        <w:pStyle w:val="Compact"/>
        <w:numPr>
          <w:ilvl w:val="0"/>
          <w:numId w:val="1003"/>
        </w:numPr>
      </w:pPr>
      <w:r>
        <w:rPr>
          <w:b/>
          <w:bCs/>
        </w:rPr>
        <w:t xml:space="preserve">Phase B C2 new dominance</w:t>
      </w:r>
      <w:r>
        <w:t xml:space="preserve"> </w:t>
      </w:r>
      <w:r>
        <w:t xml:space="preserve">(45-83%): May indicate genuine importance or need for further weight tuning.</w:t>
      </w:r>
    </w:p>
    <w:p>
      <w:pPr>
        <w:pStyle w:val="Compact"/>
        <w:numPr>
          <w:ilvl w:val="0"/>
          <w:numId w:val="1003"/>
        </w:numPr>
      </w:pPr>
      <w:r>
        <w:rPr>
          <w:b/>
          <w:bCs/>
        </w:rPr>
        <w:t xml:space="preserve">Phase D plateau</w:t>
      </w:r>
      <w:r>
        <w:t xml:space="preserve">: MCS requires multimodal input—pure interaction logs are insufficient.</w:t>
      </w:r>
    </w:p>
    <w:p>
      <w:pPr>
        <w:pStyle w:val="Compact"/>
        <w:numPr>
          <w:ilvl w:val="0"/>
          <w:numId w:val="1003"/>
        </w:numPr>
      </w:pPr>
      <w:r>
        <w:rPr>
          <w:b/>
          <w:bCs/>
        </w:rPr>
        <w:t xml:space="preserve">C6 approximation</w:t>
      </w:r>
      <w:r>
        <w:t xml:space="preserve">: Uses learned complexity, not exact IIT Φ3.0 (NP-hard for real-time).</w:t>
      </w:r>
    </w:p>
    <w:p>
      <w:pPr>
        <w:pStyle w:val="Compact"/>
        <w:numPr>
          <w:ilvl w:val="0"/>
          <w:numId w:val="1003"/>
        </w:numPr>
      </w:pPr>
      <w:r>
        <w:rPr>
          <w:b/>
          <w:bCs/>
        </w:rPr>
        <w:t xml:space="preserve">Weight sensitivity</w:t>
      </w:r>
      <w:r>
        <w:t xml:space="preserve">: Current weights derived from grid search; sensitivity analysis and adaptive learning remain future work.</w:t>
      </w:r>
    </w:p>
    <w:bookmarkEnd w:id="34"/>
    <w:bookmarkStart w:id="35" w:name="future-directions"/>
    <w:p>
      <w:pPr>
        <w:pStyle w:val="Heading3"/>
      </w:pPr>
      <w:r>
        <w:t xml:space="preserve">6.4 Future Directions</w:t>
      </w:r>
    </w:p>
    <w:p>
      <w:pPr>
        <w:pStyle w:val="Compact"/>
        <w:numPr>
          <w:ilvl w:val="0"/>
          <w:numId w:val="1004"/>
        </w:numPr>
      </w:pPr>
      <w:r>
        <w:t xml:space="preserve">Adaptive weight learning from data</w:t>
      </w:r>
    </w:p>
    <w:p>
      <w:pPr>
        <w:pStyle w:val="Compact"/>
        <w:numPr>
          <w:ilvl w:val="0"/>
          <w:numId w:val="1004"/>
        </w:numPr>
      </w:pPr>
      <w:r>
        <w:t xml:space="preserve">Clinical validation with consciousness disorder patients</w:t>
      </w:r>
    </w:p>
    <w:p>
      <w:pPr>
        <w:pStyle w:val="Compact"/>
        <w:numPr>
          <w:ilvl w:val="0"/>
          <w:numId w:val="1004"/>
        </w:numPr>
      </w:pPr>
      <w:r>
        <w:t xml:space="preserve">Real-time edge deployment</w:t>
      </w:r>
    </w:p>
    <w:p>
      <w:pPr>
        <w:pStyle w:val="Compact"/>
        <w:numPr>
          <w:ilvl w:val="0"/>
          <w:numId w:val="1004"/>
        </w:numPr>
      </w:pPr>
      <w:r>
        <w:t xml:space="preserve">Extended constraints (attention, metacognition)</w:t>
      </w:r>
    </w:p>
    <w:p>
      <w:r>
        <w:pict>
          <v:rect style="width:0;height:1.5pt" o:hralign="center" o:hrstd="t" o:hr="t"/>
        </w:pict>
      </w:r>
    </w:p>
    <w:bookmarkEnd w:id="35"/>
    <w:bookmarkEnd w:id="36"/>
    <w:bookmarkStart w:id="37" w:name="conclusion"/>
    <w:p>
      <w:pPr>
        <w:pStyle w:val="Heading2"/>
      </w:pPr>
      <w:r>
        <w:t xml:space="preserve">7. Conclusion</w:t>
      </w:r>
    </w:p>
    <w:p>
      <w:pPr>
        <w:pStyle w:val="FirstParagraph"/>
      </w:pPr>
      <w:r>
        <w:t xml:space="preserve">We presented MCS, a unified framework integrating six theoretical constraints. Through five-phase validation (5,800+ samples):</w:t>
      </w:r>
    </w:p>
    <w:p>
      <w:pPr>
        <w:pStyle w:val="Compact"/>
        <w:numPr>
          <w:ilvl w:val="0"/>
          <w:numId w:val="1005"/>
        </w:numPr>
      </w:pPr>
      <w:r>
        <w:rPr>
          <w:b/>
          <w:bCs/>
        </w:rPr>
        <w:t xml:space="preserve">Performance</w:t>
      </w:r>
      <w:r>
        <w:t xml:space="preserve">: MCS V2 achieves 5-fold CV R²=0.164 on engagement prediction, improving from NCT Φ R²=0.074</w:t>
      </w:r>
    </w:p>
    <w:p>
      <w:pPr>
        <w:pStyle w:val="Compact"/>
        <w:numPr>
          <w:ilvl w:val="0"/>
          <w:numId w:val="1005"/>
        </w:numPr>
      </w:pPr>
      <w:r>
        <w:rPr>
          <w:b/>
          <w:bCs/>
        </w:rPr>
        <w:t xml:space="preserve">Constraint validity</w:t>
      </w:r>
      <w:r>
        <w:t xml:space="preserve">: C2 (temporal continuity) is most critical (-31.3% F1 upon removal)</w:t>
      </w:r>
    </w:p>
    <w:p>
      <w:pPr>
        <w:pStyle w:val="Compact"/>
        <w:numPr>
          <w:ilvl w:val="0"/>
          <w:numId w:val="1005"/>
        </w:numPr>
      </w:pPr>
      <w:r>
        <w:rPr>
          <w:b/>
          <w:bCs/>
        </w:rPr>
        <w:t xml:space="preserve">Domain boundaries</w:t>
      </w:r>
      <w:r>
        <w:t xml:space="preserve">: MCS excels with multimodal signals but requires rich input</w:t>
      </w:r>
    </w:p>
    <w:p>
      <w:pPr>
        <w:pStyle w:val="Compact"/>
        <w:numPr>
          <w:ilvl w:val="0"/>
          <w:numId w:val="1005"/>
        </w:numPr>
      </w:pPr>
      <w:r>
        <w:rPr>
          <w:b/>
          <w:bCs/>
        </w:rPr>
        <w:t xml:space="preserve">Unification</w:t>
      </w:r>
      <w:r>
        <w:t xml:space="preserve">: Bridges previously isolated consciousness theories</w:t>
      </w:r>
    </w:p>
    <w:p>
      <w:pPr>
        <w:pStyle w:val="FirstParagraph"/>
      </w:pPr>
      <w:r>
        <w:t xml:space="preserve">All code available at: https://github.com/wyg5208/nct</w:t>
      </w:r>
    </w:p>
    <w:p>
      <w:r>
        <w:pict>
          <v:rect style="width:0;height:1.5pt" o:hralign="center" o:hrstd="t" o:hr="t"/>
        </w:pict>
      </w:r>
    </w:p>
    <w:bookmarkEnd w:id="37"/>
    <w:bookmarkStart w:id="38" w:name="acknowledgment"/>
    <w:p>
      <w:pPr>
        <w:pStyle w:val="Heading2"/>
      </w:pPr>
      <w:r>
        <w:t xml:space="preserve">Acknowledgment</w:t>
      </w:r>
    </w:p>
    <w:p>
      <w:pPr>
        <w:pStyle w:val="FirstParagraph"/>
      </w:pPr>
      <w:r>
        <w:t xml:space="preserve">We acknowledge the use of large language models for manuscript editing assistance. We thank the MEMA, FER2013, DAiSEE, and EdNet dataset creators.</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[1] G. Tononi,</w:t>
      </w:r>
      <w:r>
        <w:t xml:space="preserve"> </w:t>
      </w:r>
      <w:r>
        <w:t xml:space="preserve">“An information integration theory of consciousness,”</w:t>
      </w:r>
      <w:r>
        <w:t xml:space="preserve"> </w:t>
      </w:r>
      <w:r>
        <w:rPr>
          <w:i/>
          <w:iCs/>
        </w:rPr>
        <w:t xml:space="preserve">BMC Neuroscience</w:t>
      </w:r>
      <w:r>
        <w:t xml:space="preserve">, vol. 5, no. 1, p. 42, 2004.</w:t>
      </w:r>
    </w:p>
    <w:p>
      <w:pPr>
        <w:pStyle w:val="BodyText"/>
      </w:pPr>
      <w:r>
        <w:t xml:space="preserve">[2] G. Tononi,</w:t>
      </w:r>
      <w:r>
        <w:t xml:space="preserve"> </w:t>
      </w:r>
      <w:r>
        <w:t xml:space="preserve">“Consciousness as integrated information: a provisional manifesto,”</w:t>
      </w:r>
      <w:r>
        <w:t xml:space="preserve"> </w:t>
      </w:r>
      <w:r>
        <w:rPr>
          <w:i/>
          <w:iCs/>
        </w:rPr>
        <w:t xml:space="preserve">The Biological Bulletin</w:t>
      </w:r>
      <w:r>
        <w:t xml:space="preserve">, vol. 215, no. 3, pp. 216-242, 2008.</w:t>
      </w:r>
    </w:p>
    <w:p>
      <w:pPr>
        <w:pStyle w:val="BodyText"/>
      </w:pPr>
      <w:r>
        <w:t xml:space="preserve">[3] G. Tononi et al.,</w:t>
      </w:r>
      <w:r>
        <w:t xml:space="preserve"> </w:t>
      </w:r>
      <w:r>
        <w:t xml:space="preserve">“Integrated information theory: from consciousness to its physical substrate,”</w:t>
      </w:r>
      <w:r>
        <w:t xml:space="preserve"> </w:t>
      </w:r>
      <w:r>
        <w:rPr>
          <w:i/>
          <w:iCs/>
        </w:rPr>
        <w:t xml:space="preserve">Nature Reviews Neuroscience</w:t>
      </w:r>
      <w:r>
        <w:t xml:space="preserve">, vol. 17, pp. 450-461, 2016.</w:t>
      </w:r>
    </w:p>
    <w:p>
      <w:pPr>
        <w:pStyle w:val="BodyText"/>
      </w:pPr>
      <w:r>
        <w:t xml:space="preserve">[4] B. J. Baars,</w:t>
      </w:r>
      <w:r>
        <w:t xml:space="preserve"> </w:t>
      </w:r>
      <w:r>
        <w:rPr>
          <w:i/>
          <w:iCs/>
        </w:rPr>
        <w:t xml:space="preserve">A Cognitive Theory of Consciousness</w:t>
      </w:r>
      <w:r>
        <w:t xml:space="preserve">. Cambridge University Press, 1988.</w:t>
      </w:r>
    </w:p>
    <w:p>
      <w:pPr>
        <w:pStyle w:val="BodyText"/>
      </w:pPr>
      <w:r>
        <w:t xml:space="preserve">[5] S. Dehaene and J. P. Changeux,</w:t>
      </w:r>
      <w:r>
        <w:t xml:space="preserve"> </w:t>
      </w:r>
      <w:r>
        <w:t xml:space="preserve">“Experimental and theoretical approaches to conscious processing,”</w:t>
      </w:r>
      <w:r>
        <w:t xml:space="preserve"> </w:t>
      </w:r>
      <w:r>
        <w:rPr>
          <w:i/>
          <w:iCs/>
        </w:rPr>
        <w:t xml:space="preserve">Neuron</w:t>
      </w:r>
      <w:r>
        <w:t xml:space="preserve">, vol. 70, pp. 200-227, 2011.</w:t>
      </w:r>
    </w:p>
    <w:p>
      <w:pPr>
        <w:pStyle w:val="BodyText"/>
      </w:pPr>
      <w:r>
        <w:t xml:space="preserve">[6] K. Friston,</w:t>
      </w:r>
      <w:r>
        <w:t xml:space="preserve"> </w:t>
      </w:r>
      <w:r>
        <w:t xml:space="preserve">“The free-energy principle: a unified brain theory?”</w:t>
      </w:r>
      <w:r>
        <w:t xml:space="preserve"> </w:t>
      </w:r>
      <w:r>
        <w:rPr>
          <w:i/>
          <w:iCs/>
        </w:rPr>
        <w:t xml:space="preserve">Nature Reviews Neuroscience</w:t>
      </w:r>
      <w:r>
        <w:t xml:space="preserve">, vol. 11, pp. 127-138, 2010.</w:t>
      </w:r>
    </w:p>
    <w:p>
      <w:pPr>
        <w:pStyle w:val="BodyText"/>
      </w:pPr>
      <w:r>
        <w:t xml:space="preserve">[7] P. Thagard and K. Verbeurgt,</w:t>
      </w:r>
      <w:r>
        <w:t xml:space="preserve"> </w:t>
      </w:r>
      <w:r>
        <w:t xml:space="preserve">“Coherence as constraint satisfaction,”</w:t>
      </w:r>
      <w:r>
        <w:t xml:space="preserve"> </w:t>
      </w:r>
      <w:r>
        <w:rPr>
          <w:i/>
          <w:iCs/>
        </w:rPr>
        <w:t xml:space="preserve">Cognitive Science</w:t>
      </w:r>
      <w:r>
        <w:t xml:space="preserve">, vol. 22, pp. 1-24, 1998.</w:t>
      </w:r>
    </w:p>
    <w:p>
      <w:pPr>
        <w:pStyle w:val="BodyText"/>
      </w:pPr>
      <w:r>
        <w:t xml:space="preserve">[8] D. E. Rumelhart et al.,</w:t>
      </w:r>
      <w:r>
        <w:t xml:space="preserve"> </w:t>
      </w:r>
      <w:r>
        <w:rPr>
          <w:i/>
          <w:iCs/>
        </w:rPr>
        <w:t xml:space="preserve">Parallel Distributed Processing</w:t>
      </w:r>
      <w:r>
        <w:t xml:space="preserve">. MIT Press, 1986.</w:t>
      </w:r>
    </w:p>
    <w:p>
      <w:pPr>
        <w:pStyle w:val="BodyText"/>
      </w:pPr>
      <w:r>
        <w:t xml:space="preserve">[9] W. G. Mayner et al.,</w:t>
      </w:r>
      <w:r>
        <w:t xml:space="preserve"> </w:t>
      </w:r>
      <w:r>
        <w:t xml:space="preserve">“PyPhi: A toolbox for integrated information theory,”</w:t>
      </w:r>
      <w:r>
        <w:t xml:space="preserve"> </w:t>
      </w:r>
      <w:r>
        <w:rPr>
          <w:i/>
          <w:iCs/>
        </w:rPr>
        <w:t xml:space="preserve">PLoS Computational Biology</w:t>
      </w:r>
      <w:r>
        <w:t xml:space="preserve">, vol. 14, e1006343, 2018.</w:t>
      </w:r>
    </w:p>
    <w:p>
      <w:pPr>
        <w:pStyle w:val="BodyText"/>
      </w:pPr>
      <w:r>
        <w:t xml:space="preserve">[10] S. Dehaene et al.,</w:t>
      </w:r>
      <w:r>
        <w:t xml:space="preserve"> </w:t>
      </w:r>
      <w:r>
        <w:t xml:space="preserve">“Conscious, preconscious, and subliminal processing,”</w:t>
      </w:r>
      <w:r>
        <w:t xml:space="preserve"> </w:t>
      </w:r>
      <w:r>
        <w:rPr>
          <w:i/>
          <w:iCs/>
        </w:rPr>
        <w:t xml:space="preserve">Trends in Cognitive Sciences</w:t>
      </w:r>
      <w:r>
        <w:t xml:space="preserve">, vol. 10, pp. 204-211, 2006.</w:t>
      </w:r>
    </w:p>
    <w:p>
      <w:pPr>
        <w:pStyle w:val="BodyText"/>
      </w:pPr>
      <w:r>
        <w:t xml:space="preserve">[11] D. M. Rosenthal,</w:t>
      </w:r>
      <w:r>
        <w:t xml:space="preserve"> </w:t>
      </w:r>
      <w:r>
        <w:rPr>
          <w:i/>
          <w:iCs/>
        </w:rPr>
        <w:t xml:space="preserve">Consciousness and Mind</w:t>
      </w:r>
      <w:r>
        <w:t xml:space="preserve">. Oxford University Press, 2005.</w:t>
      </w:r>
    </w:p>
    <w:p>
      <w:pPr>
        <w:pStyle w:val="BodyText"/>
      </w:pPr>
      <w:r>
        <w:t xml:space="preserve">[12] R. W. Picard,</w:t>
      </w:r>
      <w:r>
        <w:t xml:space="preserve"> </w:t>
      </w:r>
      <w:r>
        <w:rPr>
          <w:i/>
          <w:iCs/>
        </w:rPr>
        <w:t xml:space="preserve">Affective Computing</w:t>
      </w:r>
      <w:r>
        <w:t xml:space="preserve">. MIT Press, 1997.</w:t>
      </w:r>
    </w:p>
    <w:p>
      <w:pPr>
        <w:pStyle w:val="BodyText"/>
      </w:pPr>
      <w:r>
        <w:t xml:space="preserve">[13] R. A. Calvo and S. D’Mello,</w:t>
      </w:r>
      <w:r>
        <w:t xml:space="preserve"> </w:t>
      </w:r>
      <w:r>
        <w:t xml:space="preserve">“Affect detection: An interdisciplinary review,”</w:t>
      </w:r>
      <w:r>
        <w:t xml:space="preserve"> </w:t>
      </w:r>
      <w:r>
        <w:rPr>
          <w:i/>
          <w:iCs/>
        </w:rPr>
        <w:t xml:space="preserve">IEEE TAC</w:t>
      </w:r>
      <w:r>
        <w:t xml:space="preserve">, vol. 1, pp. 18-37, 2010.</w:t>
      </w:r>
    </w:p>
    <w:p>
      <w:pPr>
        <w:pStyle w:val="BodyText"/>
      </w:pPr>
      <w:r>
        <w:t xml:space="preserve">[14] V. J. Lawhern et al.,</w:t>
      </w:r>
      <w:r>
        <w:t xml:space="preserve"> </w:t>
      </w:r>
      <w:r>
        <w:t xml:space="preserve">“EEGNet: a compact CNN for EEG-based BCI,”</w:t>
      </w:r>
      <w:r>
        <w:t xml:space="preserve"> </w:t>
      </w:r>
      <w:r>
        <w:rPr>
          <w:i/>
          <w:iCs/>
        </w:rPr>
        <w:t xml:space="preserve">J. Neural Engineering</w:t>
      </w:r>
      <w:r>
        <w:t xml:space="preserve">, vol. 15, 056013, 2018.</w:t>
      </w:r>
    </w:p>
    <w:p>
      <w:pPr>
        <w:pStyle w:val="BodyText"/>
      </w:pPr>
      <w:r>
        <w:t xml:space="preserve">[15] C. Herff et al.,</w:t>
      </w:r>
      <w:r>
        <w:t xml:space="preserve"> </w:t>
      </w:r>
      <w:r>
        <w:t xml:space="preserve">“Mental workload during n-back task,”</w:t>
      </w:r>
      <w:r>
        <w:t xml:space="preserve"> </w:t>
      </w:r>
      <w:r>
        <w:rPr>
          <w:i/>
          <w:iCs/>
        </w:rPr>
        <w:t xml:space="preserve">Front. Human Neuroscience</w:t>
      </w:r>
      <w:r>
        <w:t xml:space="preserve">, vol. 7, p. 935, 2014.</w:t>
      </w:r>
    </w:p>
    <w:p>
      <w:pPr>
        <w:pStyle w:val="BodyText"/>
      </w:pPr>
      <w:r>
        <w:t xml:space="preserve">[16] A. Gupta et al.,</w:t>
      </w:r>
      <w:r>
        <w:t xml:space="preserve"> </w:t>
      </w:r>
      <w:r>
        <w:t xml:space="preserve">“DAiSEE: Towards user engagement recognition in the wild,”</w:t>
      </w:r>
      <w:r>
        <w:t xml:space="preserve"> </w:t>
      </w:r>
      <w:r>
        <w:rPr>
          <w:i/>
          <w:iCs/>
        </w:rPr>
        <w:t xml:space="preserve">arXiv:1609.01885</w:t>
      </w:r>
      <w:r>
        <w:t xml:space="preserve">, 2016.</w:t>
      </w:r>
    </w:p>
    <w:p>
      <w:pPr>
        <w:pStyle w:val="BodyText"/>
      </w:pPr>
      <w:r>
        <w:t xml:space="preserve">[17] S. D’Mello et al.,</w:t>
      </w:r>
      <w:r>
        <w:t xml:space="preserve"> </w:t>
      </w:r>
      <w:r>
        <w:t xml:space="preserve">“Gaze tutor: A gaze-reactive intelligent tutoring system,”</w:t>
      </w:r>
      <w:r>
        <w:t xml:space="preserve"> </w:t>
      </w:r>
      <w:r>
        <w:rPr>
          <w:i/>
          <w:iCs/>
        </w:rPr>
        <w:t xml:space="preserve">IJHCS</w:t>
      </w:r>
      <w:r>
        <w:t xml:space="preserve">, vol. 70, pp. 377-398, 2012.</w:t>
      </w:r>
    </w:p>
    <w:p>
      <w:pPr>
        <w:pStyle w:val="BodyText"/>
      </w:pPr>
      <w:r>
        <w:t xml:space="preserve">[18] J. Sweller,</w:t>
      </w:r>
      <w:r>
        <w:t xml:space="preserve"> </w:t>
      </w:r>
      <w:r>
        <w:t xml:space="preserve">“Cognitive load during problem solving,”</w:t>
      </w:r>
      <w:r>
        <w:t xml:space="preserve"> </w:t>
      </w:r>
      <w:r>
        <w:rPr>
          <w:i/>
          <w:iCs/>
        </w:rPr>
        <w:t xml:space="preserve">Cognitive Science</w:t>
      </w:r>
      <w:r>
        <w:t xml:space="preserve">, vol. 12, pp. 257-285, 1988.</w:t>
      </w:r>
    </w:p>
    <w:p>
      <w:pPr>
        <w:pStyle w:val="BodyText"/>
      </w:pPr>
      <w:r>
        <w:t xml:space="preserve">[19] M. Csikszentmihalyi,</w:t>
      </w:r>
      <w:r>
        <w:t xml:space="preserve"> </w:t>
      </w:r>
      <w:r>
        <w:rPr>
          <w:i/>
          <w:iCs/>
        </w:rPr>
        <w:t xml:space="preserve">Flow: The Psychology of Optimal Experience</w:t>
      </w:r>
      <w:r>
        <w:t xml:space="preserve">. Harper &amp; Row, 1990.</w:t>
      </w:r>
    </w:p>
    <w:p>
      <w:pPr>
        <w:pStyle w:val="BodyText"/>
      </w:pPr>
      <w:r>
        <w:t xml:space="preserve">[20] S. G. Hart and L. E. Staveland,</w:t>
      </w:r>
      <w:r>
        <w:t xml:space="preserve"> </w:t>
      </w:r>
      <w:r>
        <w:t xml:space="preserve">“Development of NASA-TLX,”</w:t>
      </w:r>
      <w:r>
        <w:t xml:space="preserve"> </w:t>
      </w:r>
      <w:r>
        <w:rPr>
          <w:i/>
          <w:iCs/>
        </w:rPr>
        <w:t xml:space="preserve">Advances in Psychology</w:t>
      </w:r>
      <w:r>
        <w:t xml:space="preserve">, vol. 52, pp. 139-183, 1988.</w:t>
      </w:r>
    </w:p>
    <w:p>
      <w:pPr>
        <w:pStyle w:val="BodyText"/>
      </w:pPr>
      <w:r>
        <w:t xml:space="preserve">[21] B. E. Stein and T. R. Stanford,</w:t>
      </w:r>
      <w:r>
        <w:t xml:space="preserve"> </w:t>
      </w:r>
      <w:r>
        <w:t xml:space="preserve">“Multisensory integration,”</w:t>
      </w:r>
      <w:r>
        <w:t xml:space="preserve"> </w:t>
      </w:r>
      <w:r>
        <w:rPr>
          <w:i/>
          <w:iCs/>
        </w:rPr>
        <w:t xml:space="preserve">Nature Reviews Neuroscience</w:t>
      </w:r>
      <w:r>
        <w:t xml:space="preserve">, vol. 9, pp. 255-266, 2008.</w:t>
      </w:r>
    </w:p>
    <w:p>
      <w:pPr>
        <w:pStyle w:val="BodyText"/>
      </w:pPr>
      <w:r>
        <w:t xml:space="preserve">[22] L. S. Vygotsky,</w:t>
      </w:r>
      <w:r>
        <w:t xml:space="preserve"> </w:t>
      </w:r>
      <w:r>
        <w:rPr>
          <w:i/>
          <w:iCs/>
        </w:rPr>
        <w:t xml:space="preserve">Thought and Language</w:t>
      </w:r>
      <w:r>
        <w:t xml:space="preserve">. MIT Press, 1934/1986.</w:t>
      </w:r>
    </w:p>
    <w:p>
      <w:pPr>
        <w:pStyle w:val="BodyText"/>
      </w:pPr>
      <w:r>
        <w:t xml:space="preserve">[23] M. Oizumi et al.,</w:t>
      </w:r>
      <w:r>
        <w:t xml:space="preserve"> </w:t>
      </w:r>
      <w:r>
        <w:t xml:space="preserve">“Integrated Information Theory 3.0,”</w:t>
      </w:r>
      <w:r>
        <w:t xml:space="preserve"> </w:t>
      </w:r>
      <w:r>
        <w:rPr>
          <w:i/>
          <w:iCs/>
        </w:rPr>
        <w:t xml:space="preserve">PLoS Computational Biology</w:t>
      </w:r>
      <w:r>
        <w:t xml:space="preserve">, vol. 10, e1003588, 2014.</w:t>
      </w:r>
    </w:p>
    <w:p>
      <w:pPr>
        <w:pStyle w:val="BodyText"/>
      </w:pPr>
      <w:r>
        <w:t xml:space="preserve">[24] Y. Choi et al.,</w:t>
      </w:r>
      <w:r>
        <w:t xml:space="preserve"> </w:t>
      </w:r>
      <w:r>
        <w:t xml:space="preserve">“EdNet: A large-scale hierarchical dataset in education,”</w:t>
      </w:r>
      <w:r>
        <w:t xml:space="preserve"> </w:t>
      </w:r>
      <w:r>
        <w:rPr>
          <w:i/>
          <w:iCs/>
        </w:rPr>
        <w:t xml:space="preserve">AIED</w:t>
      </w:r>
      <w:r>
        <w:t xml:space="preserve">, pp. 69-73, 2020.</w:t>
      </w:r>
    </w:p>
    <w:p>
      <w:r>
        <w:pict>
          <v:rect style="width:0;height:1.5pt" o:hralign="center" o:hrstd="t" o:hr="t"/>
        </w:pict>
      </w:r>
    </w:p>
    <w:p>
      <w:pPr>
        <w:pStyle w:val="FirstParagraph"/>
      </w:pPr>
      <w:r>
        <w:rPr>
          <w:i/>
          <w:iCs/>
        </w:rPr>
        <w:t xml:space="preserve">Manuscript prepared: March 2026</w:t>
      </w:r>
    </w:p>
    <w:p>
      <w:pPr>
        <w:pStyle w:val="BodyText"/>
      </w:pPr>
      <w:r>
        <w:rPr>
          <w:i/>
          <w:iCs/>
        </w:rPr>
        <w:t xml:space="preserve">Target: IEEE Transactions on Affective Computing (Regular Paper)</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2026-03-18T14:01:19Z</dcterms:created>
  <dcterms:modified xsi:type="dcterms:W3CDTF">2026-03-18T14:01:19Z</dcterms:modified>
</cp:coreProperties>
</file>

<file path=docProps/custom.xml><?xml version="1.0" encoding="utf-8"?>
<Properties xmlns="http://schemas.openxmlformats.org/officeDocument/2006/custom-properties" xmlns:vt="http://schemas.openxmlformats.org/officeDocument/2006/docPropsVTypes"/>
</file>