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laboratoriuli samuSao 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davaleba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1) A1:F1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ujraTa diapazonSi SeitaneT sityva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microsoft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teqstis sxvadasxva formatis gamoyenebiT (nax. 1.1). RilakiT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Fill Color F1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 gaukeTeT feradi foni;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1203960</wp:posOffset>
            </wp:positionH>
            <wp:positionV relativeFrom="paragraph">
              <wp:posOffset>160655</wp:posOffset>
            </wp:positionV>
            <wp:extent cx="3800475" cy="1129030"/>
            <wp:effectExtent b="9525" l="9525" r="9525" t="9525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3604" l="0" r="63920" t="123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2903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nax. 1.1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moniSneT Sevsebuli striqoni da gaasworeT centris mimarT;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3) A2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SeitaneT teqsti, romlis zoma aRemateba ujris siganes - teqsti gadava mezobel Tavisufal ujrebSi; 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4) B3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SeitaneT ricxvi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125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A3-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gaimeoreT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A2-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Setanili teqsti. igi ar gadava mezobel ujrebSi, radgan mezobeli ujra dakavebulia;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moniSneT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A3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ujra. SigTavsi srulad gamoCndeba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Formula Bar-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ze; 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6) A4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SeitaneT sityva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excel,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CaavleT mausiT ujris qveda marjvena kuTxeSi moTavsebul kvadratis formis “markers”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(igi miiRebs jvris formas) da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gadainacvleT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F4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ujraSi. moniSneT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ujra, romelsac gakeTebuli aqvs feradi foni 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Painter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RilakiT formati gadaitaneT me-4 striqonis Sevsebul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ujrebze.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davaleba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cxrilis svetebis zusti zomebis dasadgenad moniSneT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A:F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svetebi: daayeneT mausis maCvenebeli svetis saxelze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miiReT qvemoT mimarTuli Savi isari da mausis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klaviSis daWeril mdgomareobaSi gadadiT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Fsvetze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(nax. 1.2). mausis gamoyenebiT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Home-Cells-Format- Column Width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punqtiT gamotanil dialogSi SearCieT sigane (arsebulis nacvlad aiReT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2) A1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SeitaneT teqsti da daafiqsireT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Enter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ekranis RilakiT (nax. 1.2);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3) Copy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Paste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brZanebebis an markeris gamoyenebiT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B1:F1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ujraTa diapazonSi miiReT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Setanili teqstis asli;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mausiT gazardeT 1 striqonis sigane. daaformateT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A1:F1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ujrebi 1.2 nax.-is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Sesabamisad: konteqsturi meniudan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Cells-Alignment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dialogis fanjris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Text Alignment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Orientation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punqtebis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Home- Alignment-Top Align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a.S. Rilakebis gamoyenebiT;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1101089</wp:posOffset>
            </wp:positionH>
            <wp:positionV relativeFrom="paragraph">
              <wp:posOffset>44450</wp:posOffset>
            </wp:positionV>
            <wp:extent cx="4000500" cy="1186815"/>
            <wp:effectExtent b="9525" l="9525" r="9525" t="9525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3065" l="99" r="58332" t="1203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681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nax. 1.2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davaleba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ramdenime ujris gasaerTianeblad moniSneT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A1:A6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ujraTa diapazoni da SeasruleT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Home-Alignment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Merge &amp; Center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(nax. 1.3)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8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teqstis ramdenime striqonad warmosaCenad CarTeT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Wrap text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Rilaki. SeitaneT teqsti da gaukeTeT centris mimarT sworeba;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SeavseT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monacemebiT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B1:B6.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cxrils gaukeTeT CarCo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Home-Font–Border;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8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4) D1:F2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ujrebSi naxatis mixedviT SeitaneT monacemebi da gaukeTeT  CarCo:  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882015</wp:posOffset>
            </wp:positionH>
            <wp:positionV relativeFrom="paragraph">
              <wp:posOffset>57785</wp:posOffset>
            </wp:positionV>
            <wp:extent cx="4055745" cy="1163955"/>
            <wp:effectExtent b="9525" l="9525" r="9525" t="9525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1712" l="656" r="54626" t="11988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16395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nax. 1.3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davaleba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0" w:firstLine="0"/>
        <w:jc w:val="both"/>
        <w:rPr>
          <w:rFonts w:ascii="AcadNusx" w:cs="AcadNusx" w:eastAsia="AcadNusx" w:hAnsi="AcadNusx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SeqmeniT axali furceli: ekranis qveda zolSi daaWireT Rilaks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Insert-Worksheet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SeitaneT wiladis Semcveli ricxvi aTobiTi mZimis Semdeg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niSniT (cifrebi da aTobiTi wertili SeitaneT klaviaturis marjvena seqciidan). ricxvi daafiqsireT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RilakiT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Formula Bar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-is zolSi). markeris meSveobiT gaavrceleT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A1-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SigTavsi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F1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ujramde;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AcadNusx" w:cs="AcadNusx" w:eastAsia="AcadNusx" w:hAnsi="AcadNusx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Home-Number 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ze arsebuli patara RilakiT gamoitaneT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Cells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fanjara (SesaZlebelia igive miiRoT konteqsturi meniuTi).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Number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CanarTis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Number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punqtis dialogis fanjris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Decimal Places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velis saSualebiT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B1,C1,D1,E1,F1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ujrebSi warmodgenil ricxvebs SeurCieT formatebi: ricxvebi gamosaxeT wiladis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4, 3, 2, 1, 0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niSniT (nax. 1.4);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AcadNusx" w:cs="AcadNusx" w:eastAsia="AcadNusx" w:hAnsi="AcadNusx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SeitaneT TariRi. TariRis Setanisas gamoiyeneT forma: Tve/ ricxvi/ weli (amerikuli standartiT) an ricxvi/ Tve/ weli (evropuli standartiT). forma unda airCioT sistemaSi dayenebuli standartis Sesabamisad, romelic dafiqsirebulia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Cells- Number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CanarTis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Date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punqtis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velSi. formis Secvla SesaZlebelia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siidan;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AcadNusx" w:cs="AcadNusx" w:eastAsia="AcadNusx" w:hAnsi="AcadNusx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Paste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brZanebebis gamoyenebiT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B2:F2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ujraTa diapazonSi miiReT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ujraSi Setanili TariRis asli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1.4 nax.-is mixedviT TariRebs SeurCieT formatebi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Cells- Number- Date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dialogis fanjris meSveobiT;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AcadNusx" w:cs="AcadNusx" w:eastAsia="AcadNusx" w:hAnsi="AcadNusx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uSecdomod Setanili ricxviTi da TariRis monacemebi, teqstisagan gansxvavebiT, avtomaturad miebjineba ujris marjvena kides.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F2-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Setanili TariRi sistemaSi arsebul standarts (amerikuls) ar Seesabameba, ris gamoc igi teqstad aris aRqmuli da mibjenilia ujris marcxena kideze: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1108710</wp:posOffset>
            </wp:positionH>
            <wp:positionV relativeFrom="paragraph">
              <wp:posOffset>121285</wp:posOffset>
            </wp:positionV>
            <wp:extent cx="4191000" cy="857250"/>
            <wp:effectExtent b="9525" l="9525" r="9525" t="9525"/>
            <wp:wrapSquare wrapText="bothSides" distB="0" distT="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9469" l="1280" r="56954" t="888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nax.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cadNusx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AcadNusx" w:cs="AcadNusx" w:eastAsia="AcadNusx" w:hAnsi="AcadNusx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cadNusx" w:cs="AcadNusx" w:eastAsia="AcadNusx" w:hAnsi="AcadNusx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</w:t>
    </w:r>
    <w:r w:rsidDel="00000000" w:rsidR="00000000" w:rsidRPr="00000000">
      <w:rPr>
        <w:rFonts w:ascii="AcadNusx" w:cs="AcadNusx" w:eastAsia="AcadNusx" w:hAnsi="AcadNusx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cadNusx" w:cs="AcadNusx" w:eastAsia="AcadNusx" w:hAnsi="AcadNusx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2007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AcadNusx" w:cs="AcadNusx" w:eastAsia="AcadNusx" w:hAnsi="AcadNusx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Verdana" w:cs="Verdana" w:eastAsia="Verdana" w:hAnsi="Verdana"/>
      <w:b w:val="1"/>
      <w:color w:val="ae963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color w:val="ceb9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color w:val="ceb96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b w:val="1"/>
      <w:i w:val="1"/>
      <w:color w:val="ceb966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color w:val="746425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Verdana" w:cs="Verdana" w:eastAsia="Verdana" w:hAnsi="Verdana"/>
      <w:i w:val="1"/>
      <w:color w:val="746425"/>
    </w:rPr>
  </w:style>
  <w:style w:type="paragraph" w:styleId="Title">
    <w:name w:val="Title"/>
    <w:basedOn w:val="Normal"/>
    <w:next w:val="Normal"/>
    <w:pPr>
      <w:pBdr>
        <w:bottom w:color="ceb966" w:space="4" w:sz="8" w:val="single"/>
      </w:pBdr>
      <w:spacing w:after="300" w:lineRule="auto"/>
    </w:pPr>
    <w:rPr>
      <w:rFonts w:ascii="Verdana" w:cs="Verdana" w:eastAsia="Verdana" w:hAnsi="Verdana"/>
      <w:color w:val="4e4d51"/>
      <w:sz w:val="52"/>
      <w:szCs w:val="52"/>
    </w:rPr>
  </w:style>
  <w:style w:type="paragraph" w:styleId="Normal" w:default="1">
    <w:name w:val="Normal"/>
    <w:qFormat w:val="1"/>
    <w:rsid w:val="0079586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paragraph" w:styleId="Heading1">
    <w:name w:val="heading 1"/>
    <w:basedOn w:val="Normal"/>
    <w:next w:val="Normal"/>
    <w:link w:val="Heading1Char"/>
    <w:qFormat w:val="1"/>
    <w:rsid w:val="0002688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ae9638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746325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746325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2688A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2688A"/>
    <w:rPr>
      <w:rFonts w:asciiTheme="majorHAnsi" w:cstheme="majorBidi" w:eastAsiaTheme="majorEastAsia" w:hAnsiTheme="majorHAnsi"/>
      <w:b w:val="1"/>
      <w:bCs w:val="1"/>
      <w:color w:val="ae9638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688A"/>
    <w:rPr>
      <w:rFonts w:asciiTheme="majorHAnsi" w:cstheme="majorBidi" w:eastAsiaTheme="majorEastAsia" w:hAnsiTheme="majorHAnsi"/>
      <w:b w:val="1"/>
      <w:bCs w:val="1"/>
      <w:color w:val="ceb96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2688A"/>
    <w:rPr>
      <w:rFonts w:asciiTheme="majorHAnsi" w:cstheme="majorBidi" w:eastAsiaTheme="majorEastAsia" w:hAnsiTheme="majorHAnsi"/>
      <w:b w:val="1"/>
      <w:bCs w:val="1"/>
      <w:color w:val="ceb966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2688A"/>
    <w:rPr>
      <w:rFonts w:asciiTheme="majorHAnsi" w:cstheme="majorBidi" w:eastAsiaTheme="majorEastAsia" w:hAnsiTheme="majorHAnsi"/>
      <w:b w:val="1"/>
      <w:bCs w:val="1"/>
      <w:i w:val="1"/>
      <w:iCs w:val="1"/>
      <w:color w:val="ceb966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02688A"/>
    <w:rPr>
      <w:rFonts w:asciiTheme="majorHAnsi" w:cstheme="majorBidi" w:eastAsiaTheme="majorEastAsia" w:hAnsiTheme="majorHAnsi"/>
      <w:color w:val="746325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sid w:val="0002688A"/>
    <w:rPr>
      <w:rFonts w:asciiTheme="majorHAnsi" w:cstheme="majorBidi" w:eastAsiaTheme="majorEastAsia" w:hAnsiTheme="majorHAnsi"/>
      <w:i w:val="1"/>
      <w:iCs w:val="1"/>
      <w:color w:val="746325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sid w:val="0002688A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sid w:val="0002688A"/>
    <w:rPr>
      <w:rFonts w:asciiTheme="majorHAnsi" w:cstheme="majorBidi" w:eastAsiaTheme="majorEastAsia" w:hAnsiTheme="majorHAnsi"/>
      <w:color w:val="ceb966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02688A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2688A"/>
    <w:pPr>
      <w:pBdr>
        <w:bottom w:color="ceb966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4e4d51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2688A"/>
    <w:rPr>
      <w:rFonts w:asciiTheme="majorHAnsi" w:cstheme="majorBidi" w:eastAsiaTheme="majorEastAsia" w:hAnsiTheme="majorHAnsi"/>
      <w:color w:val="4e4d51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2688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ceb966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2688A"/>
    <w:rPr>
      <w:rFonts w:asciiTheme="majorHAnsi" w:cstheme="majorBidi" w:eastAsiaTheme="majorEastAsia" w:hAnsiTheme="majorHAnsi"/>
      <w:i w:val="1"/>
      <w:iCs w:val="1"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2688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2688A"/>
    <w:rPr>
      <w:i w:val="1"/>
      <w:iCs w:val="1"/>
    </w:rPr>
  </w:style>
  <w:style w:type="paragraph" w:styleId="NoSpacing">
    <w:name w:val="No Spacing"/>
    <w:link w:val="NoSpacingChar"/>
    <w:uiPriority w:val="1"/>
    <w:qFormat w:val="1"/>
    <w:rsid w:val="0002688A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02688A"/>
  </w:style>
  <w:style w:type="paragraph" w:styleId="ListParagraph">
    <w:name w:val="List Paragraph"/>
    <w:basedOn w:val="Normal"/>
    <w:uiPriority w:val="34"/>
    <w:qFormat w:val="1"/>
    <w:rsid w:val="0002688A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2688A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02688A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2688A"/>
    <w:pPr>
      <w:pBdr>
        <w:bottom w:color="ceb966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ceb966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688A"/>
    <w:rPr>
      <w:b w:val="1"/>
      <w:bCs w:val="1"/>
      <w:i w:val="1"/>
      <w:iCs w:val="1"/>
      <w:color w:val="ceb966" w:themeColor="accent1"/>
    </w:rPr>
  </w:style>
  <w:style w:type="character" w:styleId="SubtleEmphasis">
    <w:name w:val="Subtle Emphasis"/>
    <w:basedOn w:val="DefaultParagraphFont"/>
    <w:uiPriority w:val="19"/>
    <w:qFormat w:val="1"/>
    <w:rsid w:val="0002688A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02688A"/>
    <w:rPr>
      <w:b w:val="1"/>
      <w:bCs w:val="1"/>
      <w:i w:val="1"/>
      <w:iCs w:val="1"/>
      <w:color w:val="ceb966" w:themeColor="accent1"/>
    </w:rPr>
  </w:style>
  <w:style w:type="character" w:styleId="SubtleReference">
    <w:name w:val="Subtle Reference"/>
    <w:basedOn w:val="DefaultParagraphFont"/>
    <w:uiPriority w:val="31"/>
    <w:qFormat w:val="1"/>
    <w:rsid w:val="0002688A"/>
    <w:rPr>
      <w:smallCaps w:val="1"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02688A"/>
    <w:rPr>
      <w:b w:val="1"/>
      <w:bCs w:val="1"/>
      <w:smallCaps w:val="1"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02688A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2688A"/>
    <w:pPr>
      <w:outlineLvl w:val="9"/>
    </w:p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2688A"/>
    <w:rPr>
      <w:b w:val="1"/>
      <w:bCs w:val="1"/>
      <w:color w:val="ceb966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9586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95869"/>
    <w:rPr>
      <w:rFonts w:ascii="Tahoma" w:cs="Tahoma" w:eastAsia="Times New Roman" w:hAnsi="Tahoma"/>
      <w:sz w:val="16"/>
      <w:szCs w:val="16"/>
      <w:lang w:bidi="ar-SA" w:eastAsia="ru-RU" w:val="ru-RU"/>
    </w:rPr>
  </w:style>
  <w:style w:type="paragraph" w:styleId="Header">
    <w:name w:val="header"/>
    <w:basedOn w:val="Normal"/>
    <w:link w:val="HeaderChar"/>
    <w:uiPriority w:val="99"/>
    <w:unhideWhenUsed w:val="1"/>
    <w:rsid w:val="00456ACD"/>
    <w:pPr>
      <w:tabs>
        <w:tab w:val="center" w:pos="4844"/>
        <w:tab w:val="right" w:pos="9689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56ACD"/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456ACD"/>
    <w:pPr>
      <w:tabs>
        <w:tab w:val="center" w:pos="4844"/>
        <w:tab w:val="right" w:pos="9689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56ACD"/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paragraph" w:styleId="Subtitle">
    <w:name w:val="Subtitle"/>
    <w:basedOn w:val="Normal"/>
    <w:next w:val="Normal"/>
    <w:pPr/>
    <w:rPr>
      <w:rFonts w:ascii="Verdana" w:cs="Verdana" w:eastAsia="Verdana" w:hAnsi="Verdana"/>
      <w:i w:val="1"/>
      <w:color w:val="ceb9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McczNBema7kVETqk+U315Opjg==">AMUW2mWokysD8ImQTJ8n7fXnxoKSpAmlwYqPqWjbb67wsQPUGY2SDdui1ghWuT6XelqDb6IkD7nJxB7uOHifc7cN6NR0+4yCMNpMocdenQGNK6sazWUEIUSxrU1oVzhl1txiJ/E8VCne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2011-11-20T06:02:00Z</dcterms:created>
  <dc:creator>casper</dc:creator>
</cp:coreProperties>
</file>