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100" w:line="280" w:lineRule="auto"/>
        <w:jc w:val="center"/>
      </w:pPr>
      <w:r>
        <w:rPr>
          <w:rFonts w:ascii="맑은 고딕" w:eastAsia="맑은 고딕" w:hAnsi="맑은 고딕" w:cs="맑은 고딕"/>
          <w:b/>
          <w:bCs/>
          <w:color w:val="1F4E79"/>
          <w:sz w:val="36"/>
          <w:szCs w:val="36"/>
        </w:rPr>
        <w:t xml:space="preserve">경력기술서</w:t>
      </w:r>
    </w:p>
    <w:p>
      <w:pPr>
        <w:spacing w:before="0" w:after="60" w:line="280" w:lineRule="auto"/>
        <w:jc w:val="center"/>
      </w:pPr>
      <w:r>
        <w:rPr>
          <w:rFonts w:ascii="맑은 고딕" w:eastAsia="맑은 고딕" w:hAnsi="맑은 고딕" w:cs="맑은 고딕"/>
          <w:color w:val="595959"/>
          <w:sz w:val="22"/>
          <w:szCs w:val="22"/>
        </w:rPr>
        <w:t xml:space="preserve">데이터와 시장성을 기반으로 콘텐츠의 사업 가치를 만들어가는 콘텐츠 사업 전문가</w:t>
      </w:r>
    </w:p>
    <w:p>
      <w:pPr>
        <w:spacing w:before="0" w:after="120" w:line="280" w:lineRule="auto"/>
        <w:ind w:left="140" w:hanging="0"/>
        <w:jc w:val="both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윤성아</w:t>
      </w:r>
      <w:r>
        <w:rPr>
          <w:rFonts w:ascii="맑은 고딕" w:eastAsia="맑은 고딕" w:hAnsi="맑은 고딕" w:cs="맑은 고딕"/>
          <w:sz w:val="22"/>
          <w:szCs w:val="22"/>
        </w:rPr>
        <w:t xml:space="preserve"> · 콘텐츠 사업 / 글로벌 라이선싱</w:t>
      </w:r>
    </w:p>
    <w:p>
      <w:pPr>
        <w:spacing w:before="420" w:after="180" w:line="280" w:lineRule="auto"/>
        <w:pBdr>
          <w:bottom w:val="single" w:sz="8" w:space="4" w:color="1F4E79"/>
        </w:pBdr>
        <w:jc w:val="left"/>
      </w:pPr>
      <w:r>
        <w:rPr>
          <w:rFonts w:ascii="맑은 고딕" w:eastAsia="맑은 고딕" w:hAnsi="맑은 고딕" w:cs="맑은 고딕"/>
          <w:b/>
          <w:bCs/>
          <w:color w:val="1F4E79"/>
          <w:sz w:val="36"/>
          <w:szCs w:val="36"/>
        </w:rPr>
        <w:t xml:space="preserve">1. Career Summary</w:t>
      </w:r>
    </w:p>
    <w:p>
      <w:pPr>
        <w:spacing w:before="0" w:after="120" w:line="280" w:lineRule="auto"/>
        <w:ind w:left="140" w:hanging="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콘텐츠 제작 현장과 미디어 데이터 분석 경험을 바탕으로, 현재는 국내외 콘텐츠의 사업성 검토부터 글로벌 라이선스 계약, 플랫폼 유통, 성과 분석 및 계약 연장 검토까지 콘텐츠 사업 전반의 실무를 수행하고 있습니다.</w:t>
      </w:r>
    </w:p>
    <w:p>
      <w:pPr>
        <w:spacing w:before="0" w:after="120" w:line="280" w:lineRule="auto"/>
        <w:ind w:left="140" w:hanging="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KBS 뉴스 제작 지원을 시작으로 한국언론진흥재단(정부광고·미디어 데이터), 닐슨미디어코리아(TV 시청 데이터)를 거치며 콘텐츠 시장과 이용자 소비 데이터를 분석하는 역량을 쌓았습니다. 이를 바탕으로 현재 스튜디오초이스에서는 영화·시리즈·애니메이션 등 약 700개 콘텐츠를 20개 IPTV·OTT 플랫폼에 유통하며, 국내외 콘텐츠의 사업성 검토부터 글로벌 라이선스 계약, 플랫폼 운영 및 성과 관리까지 콘텐츠 사업 전반의 실무를 수행하고 있습니다.</w:t>
      </w:r>
    </w:p>
    <w:p>
      <w:pPr>
        <w:spacing w:before="0" w:after="120" w:line="280" w:lineRule="auto"/>
        <w:ind w:left="140" w:hanging="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특히 홍콩·중화권 및 캐나다 주요 해외 판권사와 직접 협업하여 글로벌 타이틀의 직수급 및 라이선싱 계약을 성사시켰으며, 영문 계약 검토부터 소재 수급, 로컬라이징, 심의, 유통 준비 및 서비스 운영을 수행했습니다.</w:t>
      </w:r>
    </w:p>
    <w:p>
      <w:pPr>
        <w:spacing w:before="0" w:after="120" w:line="280" w:lineRule="auto"/>
        <w:ind w:left="140" w:hanging="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서비스 이후에는 플랫폼별 매출과 콘텐츠 소비 데이터를 분석하여 프로모션 효과, 장르별 소비 패턴, 계약 연장 및 후속 콘텐츠 확보 검토에 활용하고 있습니다.</w:t>
      </w:r>
    </w:p>
    <w:p>
      <w:pPr>
        <w:spacing w:before="420" w:after="180" w:line="280" w:lineRule="auto"/>
        <w:pBdr>
          <w:bottom w:val="single" w:sz="8" w:space="4" w:color="1F4E79"/>
        </w:pBdr>
        <w:jc w:val="left"/>
      </w:pPr>
      <w:r>
        <w:rPr>
          <w:rFonts w:ascii="맑은 고딕" w:eastAsia="맑은 고딕" w:hAnsi="맑은 고딕" w:cs="맑은 고딕"/>
          <w:b/>
          <w:bCs/>
          <w:color w:val="1F4E79"/>
          <w:sz w:val="36"/>
          <w:szCs w:val="36"/>
        </w:rPr>
        <w:t xml:space="preserve">2. Core Competency</w:t>
      </w:r>
    </w:p>
    <w:p>
      <w:pPr>
        <w:spacing w:before="280" w:after="120" w:line="280" w:lineRule="auto"/>
        <w:jc w:val="left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콘텐츠 사업성 검토 및 계약 조건 분석, 포트폴리오 운영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콘텐츠의 매출, 시청률 및 플랫폼 성과 데이터를 기반으로 시장성과 사업성 분석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국내 서비스 이력 및 해외 판권 유통·판매 사례 조사를 통한 시장성 검증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장르별 소비 패턴과 콘텐츠 라이프사이클 분석을 통한 예상 매출 및 리쿱 가능성 검토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권리 범위, 계약 기간, MG·RS 구조 등 주요 라이선스 계약 조건 검토 및 재협의</w:t>
      </w:r>
    </w:p>
    <w:p>
      <w:pPr>
        <w:spacing w:before="280" w:after="120" w:line="280" w:lineRule="auto"/>
        <w:jc w:val="left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글로벌 콘텐츠 라이선싱 및 비즈니스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홍콩·중화권·캐나다 해외 판권사 직접 커뮤니케이션 및 영문 계약 협의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BIFF, FILMART 등 글로벌 마켓 참가를 통한 신규 파트너십 발굴 및 콘텐츠 소싱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영화·애니메이션·해외 시리즈 등 글로벌 타이틀 직수급 실무 수행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소재 수급, 로컬라이징(자막·더빙), 심의 및 국내 플랫폼 편성 일정 관리</w:t>
      </w:r>
    </w:p>
    <w:p>
      <w:pPr>
        <w:spacing w:before="280" w:after="120" w:line="280" w:lineRule="auto"/>
        <w:jc w:val="left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콘텐츠 포트폴리오 운영 및 성과 관리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영화·시리즈·애니메이션 약 700개 콘텐츠의 성과 및 라이프사이클 관리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IPTV·OTT·채널 등 20개 플랫폼 유통 운영 및 월별 매출·판매 데이터 분석 리포트 작성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콘텐츠별 성과 분석을 통한 계약 연장 및 후속 확보 검토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플랫폼 편성 및 프로모션에 따른 매출 변동 요인 도출 및 인사이트 공유</w:t>
      </w:r>
    </w:p>
    <w:p>
      <w:pPr>
        <w:spacing w:before="280" w:after="120" w:line="280" w:lineRule="auto"/>
        <w:jc w:val="left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국내외 파트너 커뮤니케이션 및 사업 운영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국내외 판권사 계약 및 정산 업무 수행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글로벌 콘텐츠 시장과 장르별 유통 동향 조사 및 수급 검토 진행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판권사·플랫폼·내부 유관 부서 간 커뮤니케이션 및 업무 조율</w:t>
      </w:r>
    </w:p>
    <w:p>
      <w:pPr>
        <w:spacing w:before="420" w:after="180" w:line="280" w:lineRule="auto"/>
        <w:pBdr>
          <w:bottom w:val="single" w:sz="8" w:space="4" w:color="1F4E79"/>
        </w:pBdr>
        <w:jc w:val="left"/>
      </w:pPr>
      <w:r>
        <w:rPr>
          <w:rFonts w:ascii="맑은 고딕" w:eastAsia="맑은 고딕" w:hAnsi="맑은 고딕" w:cs="맑은 고딕"/>
          <w:b/>
          <w:bCs/>
          <w:color w:val="1F4E79"/>
          <w:sz w:val="36"/>
          <w:szCs w:val="36"/>
        </w:rPr>
        <w:t xml:space="preserve">3. Skill &amp; Certificate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컴퓨터활용능력 2급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ADsP(데이터분석 준전문가)</w:t>
      </w:r>
    </w:p>
    <w:p>
      <w:pPr>
        <w:spacing w:before="420" w:after="180" w:line="280" w:lineRule="auto"/>
        <w:pBdr>
          <w:bottom w:val="single" w:sz="8" w:space="4" w:color="1F4E79"/>
        </w:pBdr>
        <w:jc w:val="left"/>
      </w:pPr>
      <w:r>
        <w:rPr>
          <w:rFonts w:ascii="맑은 고딕" w:eastAsia="맑은 고딕" w:hAnsi="맑은 고딕" w:cs="맑은 고딕"/>
          <w:b/>
          <w:bCs/>
          <w:color w:val="1F4E79"/>
          <w:sz w:val="36"/>
          <w:szCs w:val="36"/>
        </w:rPr>
        <w:t xml:space="preserve">4. Professional Experience</w:t>
      </w:r>
    </w:p>
    <w:p>
      <w:pPr>
        <w:spacing w:before="280" w:after="120" w:line="280" w:lineRule="auto"/>
        <w:jc w:val="left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스튜디오초이스 | 콘텐츠사업본부 콘텐츠배급팀 · 프로 (2024.07 ~ 현재)</w:t>
      </w:r>
    </w:p>
    <w:p>
      <w:pPr>
        <w:spacing w:before="160" w:after="8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Role Summary</w:t>
      </w:r>
    </w:p>
    <w:p>
      <w:pPr>
        <w:spacing w:before="0" w:after="120" w:line="280" w:lineRule="auto"/>
        <w:ind w:left="140" w:hanging="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국내외 영화·시리즈·애니메이션 콘텐츠의 사업성을 검토하고, 콘텐츠 확보부터 글로벌 라이선스 계약, 국내 플랫폼 유통, 정산, 성과 분석 및 계약 연장 검토까지 콘텐츠 사업 전반의 실무를 수행하고 있습니다. 약 700개 콘텐츠를 20개 플랫폼에 유통하고 52개 국내외 판권사를 관리하며, 플랫폼별 성과 데이터를 기반으로 후속 콘텐츠 확보와 계약 연장 검토에 필요한 방향을 제안하고 있습니다.</w:t>
      </w:r>
    </w:p>
    <w:p>
      <w:pPr>
        <w:spacing w:before="160" w:after="8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주요 업무 및 성과</w:t>
      </w:r>
    </w:p>
    <w:p>
      <w:pPr>
        <w:spacing w:before="220" w:after="10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1) 해외 IP 직수급 및 글로벌 라이선싱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해외 IP 발굴 및 수급: BIFF, FILMART 참가를 통해 신규 해외 파트너를 발굴하고 YINGFILMS, Just Distribution, ATTRACTION Distribution 등 글로벌 판권사와 콘텐츠 라이선스 계약 협의 및 체결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계약 조건 검토 및 협의: 권리 범위, 계약 기간, 플랫폼, 홀드백 등 계약 조건을 검토하고 MG, RS, 소재비, 지급 일정 등 주요 조건 협의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서비스 운영: 소재 수급, 로컬라이징, 소재 승인, 영상물 심의 및 국내 플랫폼 서비스 일정 관리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직수급 타이틀 예시</w:t>
      </w:r>
    </w:p>
    <w:p>
      <w:pPr>
        <w:spacing w:before="0" w:after="60" w:line="280" w:lineRule="auto"/>
        <w:ind w:left="76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- </w:t>
      </w:r>
      <w:r>
        <w:rPr>
          <w:rFonts w:ascii="맑은 고딕" w:eastAsia="맑은 고딕" w:hAnsi="맑은 고딕" w:cs="맑은 고딕"/>
          <w:sz w:val="22"/>
          <w:szCs w:val="22"/>
        </w:rPr>
        <w:t xml:space="preserve">YINGFILMS: 적인걸-통천미안, 적인걸-궤진유혼</w:t>
      </w:r>
    </w:p>
    <w:p>
      <w:pPr>
        <w:spacing w:before="0" w:after="60" w:line="280" w:lineRule="auto"/>
        <w:ind w:left="76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- </w:t>
      </w:r>
      <w:r>
        <w:rPr>
          <w:rFonts w:ascii="맑은 고딕" w:eastAsia="맑은 고딕" w:hAnsi="맑은 고딕" w:cs="맑은 고딕"/>
          <w:sz w:val="22"/>
          <w:szCs w:val="22"/>
        </w:rPr>
        <w:t xml:space="preserve">Just Distribution: Panda Plan2, Hybrid Storm, Crypto Storm</w:t>
      </w:r>
    </w:p>
    <w:p>
      <w:pPr>
        <w:spacing w:before="0" w:after="60" w:line="280" w:lineRule="auto"/>
        <w:ind w:left="76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- </w:t>
      </w:r>
      <w:r>
        <w:rPr>
          <w:rFonts w:ascii="맑은 고딕" w:eastAsia="맑은 고딕" w:hAnsi="맑은 고딕" w:cs="맑은 고딕"/>
          <w:sz w:val="22"/>
          <w:szCs w:val="22"/>
        </w:rPr>
        <w:t xml:space="preserve">ATTRACTION Distribution: Pat and Mat 시리즈 등</w:t>
      </w:r>
    </w:p>
    <w:p>
      <w:pPr>
        <w:spacing w:before="220" w:after="10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2) 콘텐츠 사업성 검토 및 계약 전략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사업성 검토: 유사 콘텐츠의 플랫폼별 매출, 판매 추이, 국내외 흥행 및 유통 이력, 이용자 반응을 분석하여 예상 매출 및 리쿱 가능성 검토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매출 시뮬레이션: MG, RS, 로컬라이징비, 심의비 등 계약·서비스 비용을 반영한 예상 매출 시뮬레이션 및 내부 검토 자료 작성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계약 조건 협상: 시장 상황과 플랫폼 수요를 반영하여 계약 금액, 권리 범위, 요율 등 주요 계약 조건을 협의하고 예상 매출 시뮬레이션을 기반으로 수익성 검토 근거를 마련</w:t>
      </w:r>
    </w:p>
    <w:p>
      <w:pPr>
        <w:spacing w:before="220" w:after="10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3) 콘텐츠 포트폴리오 운영 및 성과 관리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포트폴리오 운영: 약 700개 콘텐츠를 대상으로 IPTV·OTT 등 20개 플랫폼의 서비스 현황 및 성과 모니터링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성과 분석: 플랫폼별 매출, 프로모션, 채널 편성 효과를 분석하여 콘텐츠 확보 및 운영 전략 수립에 활용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라이프사이클 분석: 콘텐츠의 매출 지속 기간과 소비 패턴을 분석하여 장기 수익 창출이 가능한 콘텐츠 확보 방향 검토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계약 연장 검토: 성과 지표와 누적 매출을 기반으로 계약 만료 예정 콘텐츠의 연장 타당성 검토 및 판권사 협의</w:t>
      </w:r>
    </w:p>
    <w:p>
      <w:pPr>
        <w:spacing w:before="220" w:after="10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4) 콘텐츠 사업 운영 및 파트너 협업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정산 운영: 국내외 52개 판권사 및 20개 플랫폼 정산 프로세스 운영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정산 검증: 플랫폼별 정산 로직 검증 및 수정 정산 대응을 통해 정산 정확도 관리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사업 운영: 판권사, 플랫폼 및 내부 유관 부서와 서비스 일정, 계약 및 운영 이슈 조율</w:t>
      </w:r>
    </w:p>
    <w:p>
      <w:pPr>
        <w:spacing w:before="280" w:after="120" w:line="280" w:lineRule="auto"/>
        <w:jc w:val="left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닐슨미디어코리아 | Media CS · 계약직 사원 (2022.08 ~ 2023.11)</w:t>
      </w:r>
    </w:p>
    <w:p>
      <w:pPr>
        <w:spacing w:before="160" w:after="8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Role Summary</w:t>
      </w:r>
    </w:p>
    <w:p>
      <w:pPr>
        <w:spacing w:before="0" w:after="120" w:line="280" w:lineRule="auto"/>
        <w:ind w:left="140" w:hanging="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국내 방송사와 콘텐츠 사업자를 대상으로 TV 시청 데이터를 분석하고, 미디어 시장 동향을 기반으로 데이터 리포트와 인사이트를 제공했습니다. 국내외 시청 데이터를 활용한 분석 업무를 수행하며 성과 분석 역량을 쌓았습니다.</w:t>
      </w:r>
    </w:p>
    <w:p>
      <w:pPr>
        <w:spacing w:before="160" w:after="8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주요 업무 및 성과</w:t>
      </w:r>
    </w:p>
    <w:p>
      <w:pPr>
        <w:spacing w:before="220" w:after="10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1) 콘텐츠 시청 데이터 분석 및 성과 리포팅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시청률 분석: 지상파·종편·유료방송(KBS, MBC, SBS, JTBC, 채널A 등)의 시청률, 점유율 및 편성 데이터를 분석하여 주간·월간 성과 리포트 작성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타깃 시청자 분석: 2039·2049 등 연령 및 지역별 시청 패턴을 분석하고 프로그램 성과 및 편성 운영에 활용되는 분석 자료 제공</w:t>
      </w:r>
    </w:p>
    <w:p>
      <w:pPr>
        <w:spacing w:before="220" w:after="10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2) 글로벌 콘텐츠 데이터 분석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해외 분석 리포트 작성: 닐슨 싱가포르 대상 한국 스포츠 프로그램 주간 시청률 리포트 작성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콘텐츠 시장 분석: 닐슨 대만 대상 한국 드라마·스포츠 콘텐츠 TOP20 분석 자료 제공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글로벌 커뮤니케이션: 국내외 시청 데이터를 활용한 비교 분석 및 영문 리포팅 수행</w:t>
      </w:r>
    </w:p>
    <w:p>
      <w:pPr>
        <w:spacing w:before="220" w:after="10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3) 시장 분석 및 고객 커뮤니케이션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미디어 성과 분석: 주요 광고주 사례를 기반으로 매체·채널별 광고 노출 비중(SOV) 및 성과 구조 분석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시장 동향 분석: 매체 및 채널 간 성과를 비교하여 시장 흐름과 경쟁 현황 분석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고객사 지원: 방송사 및 광고대행사 대상 데이터 문의 대응과 분석 결과 설명(Arianna, Adex, Korean Click)</w:t>
      </w:r>
    </w:p>
    <w:p>
      <w:pPr>
        <w:spacing w:before="280" w:after="120" w:line="280" w:lineRule="auto"/>
        <w:jc w:val="left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한국언론진흥재단 | 광고컨설팅팀 · 인턴 사원 (2022.04 ~ 2022.08)</w:t>
      </w:r>
    </w:p>
    <w:p>
      <w:pPr>
        <w:spacing w:before="160" w:after="8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Role Summary</w:t>
      </w:r>
    </w:p>
    <w:p>
      <w:pPr>
        <w:spacing w:before="0" w:after="120" w:line="280" w:lineRule="auto"/>
        <w:ind w:left="140" w:hanging="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정부광고 집행 데이터를 분석하고 미디어 시장 및 광고 성과를 조사하여 컨설팅 자료와 리포트 작성을 지원했습니다. 방송·디지털 매체 데이터를 활용한 시장 분석과 광고 운영 실무를 경험했습니다.</w:t>
      </w:r>
    </w:p>
    <w:p>
      <w:pPr>
        <w:spacing w:before="160" w:after="8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주요 업무 및 성과</w:t>
      </w:r>
    </w:p>
    <w:p>
      <w:pPr>
        <w:spacing w:before="220" w:after="10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1) 정부광고 데이터 분석 및 리서치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정부광고 트렌드 리포트 콘텐츠 기획 및 미디어 리포트 작성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Arianna, Korea Adex 기반 데이터 리서치 수행 및 정부광고 집행 데이터 분석</w:t>
      </w:r>
    </w:p>
    <w:p>
      <w:pPr>
        <w:spacing w:before="220" w:after="100" w:line="280" w:lineRule="auto"/>
        <w:ind w:left="140" w:hanging="0"/>
        <w:jc w:val="left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2) 광고 컨설팅 및 운영 지원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정부광고 컨설팅 자료 작성 및 매체별 특성 분석 지원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디지털·옥외 광고 게재 검수, 방송사 및 MCN 협찬 리스트와 미디어 운영 자료 관리</w:t>
      </w:r>
    </w:p>
    <w:p>
      <w:pPr>
        <w:spacing w:before="280" w:after="120" w:line="280" w:lineRule="auto"/>
        <w:jc w:val="left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KBS | 뉴스제작1부 · 파견직 사원 (2019.12 ~ 2021.12)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뉴스 제작 및 생방송 운영 지원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뉴스 모니터링 리포트 작성</w:t>
      </w:r>
    </w:p>
    <w:p>
      <w:pPr>
        <w:spacing w:before="420" w:after="180" w:line="280" w:lineRule="auto"/>
        <w:pBdr>
          <w:bottom w:val="single" w:sz="8" w:space="4" w:color="1F4E79"/>
        </w:pBdr>
        <w:jc w:val="left"/>
      </w:pPr>
      <w:r>
        <w:rPr>
          <w:rFonts w:ascii="맑은 고딕" w:eastAsia="맑은 고딕" w:hAnsi="맑은 고딕" w:cs="맑은 고딕"/>
          <w:b/>
          <w:bCs/>
          <w:color w:val="1F4E79"/>
          <w:sz w:val="36"/>
          <w:szCs w:val="36"/>
        </w:rPr>
        <w:t xml:space="preserve">5. Education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2025.09 ~ 현재 · 연세대학교 방송영상문화콘텐츠 석사 재학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2016.03 ~ 2021.08 · 숙명여자대학교 중어중문학부·미디어학부 학사 졸업</w:t>
      </w:r>
    </w:p>
    <w:p>
      <w:pPr>
        <w:spacing w:before="0" w:after="60" w:line="280" w:lineRule="auto"/>
        <w:ind w:left="420" w:hanging="200"/>
        <w:jc w:val="both"/>
      </w:pPr>
      <w:r>
        <w:rPr>
          <w:rFonts w:ascii="맑은 고딕" w:eastAsia="맑은 고딕" w:hAnsi="맑은 고딕" w:cs="맑은 고딕"/>
          <w:sz w:val="22"/>
          <w:szCs w:val="22"/>
        </w:rPr>
        <w:t xml:space="preserve">· </w:t>
      </w:r>
      <w:r>
        <w:rPr>
          <w:rFonts w:ascii="맑은 고딕" w:eastAsia="맑은 고딕" w:hAnsi="맑은 고딕" w:cs="맑은 고딕"/>
          <w:sz w:val="22"/>
          <w:szCs w:val="22"/>
        </w:rPr>
        <w:t xml:space="preserve">2012.03 ~ 2015.03 · 명덕여자고등학교 졸업</w:t>
      </w:r>
    </w:p>
    <w:sectPr>
      <w:pgSz w:w="11906" w:h="16838"/>
      <w:pgMar w:top="1134" w:right="1134" w:bottom="1134" w:left="1134" w:header="850" w:footer="850" w:gutter="0"/>
      <w:cols w:space="425"/>
      <w:docGrid w:linePitch="36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경력기술서</dc:title>
  <dc:creator>윤성아</dc:creator>
  <dcterms:created xsi:type="dcterms:W3CDTF">2026-09-01T00:00:00Z</dcterms:created>
  <dcterms:modified xsi:type="dcterms:W3CDTF">2026-09-01T00:00:00Z</dcterms:modified>
</cp:coreProperties>
</file>