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sz w:val="32"/>
          <w:szCs w:val="32"/>
        </w:rPr>
        <w:t xml:space="preserve">OCR识别技术</w:t>
      </w:r>
    </w:p>
    <w:p>
      <w:pPr>
        <w:spacing w:before="200" w:after="100"/>
        <w:ind w:firstLine="42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摘要</w:t>
      </w: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从早期的文档电子化到如今的万物皆可读，光学字符识别（OCR）技术完成了一次从“感知”到“认知”的跨越。本文将目光投向这一技术演进背后的驱动力，剖析了以CRNN、Transformer为代表的深度学习架构是如何一步步取代传统手工特征工程的。我们特别关注自然场景文本（STR）识别中的“硬骨头”——诸如艺术字形变、复杂光照干扰以及多语言混排等现实挑战，并探讨了当OCR遇见多模态大模型时，可能产生的新化学反应。</w:t>
      </w:r>
    </w:p>
    <w:p>
      <w:pPr>
        <w:spacing w:before="200" w:after="100"/>
        <w:ind w:firstLine="42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一、 引言</w:t>
      </w: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让计算机像人眼一样“看懂”文字，这在计算机视觉领域曾被视为一项浩大的工程。OCR，这项致力于连接物理世界与数字世界的技术，最早可以追溯到上世纪对特定字体的模板匹配尝试。但真正的转折点发生在2012年——深度学习的爆发让OCR不再依赖繁琐的SIFT或HOG特征。现在的OCR系统，本质上已进化为一个极其精密的流水线：先由文本检测网络在复杂的背景中“框”出文字，再由识别网络“读”出内容。这种技术范式的转移，彻底改变了我们处理非结构化数据的方式。</w:t>
      </w:r>
    </w:p>
    <w:p>
      <w:pPr>
        <w:spacing w:before="200" w:after="100"/>
        <w:ind w:firstLine="42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二、 应用场景</w:t>
      </w: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这项技术早已渗透进我们生活的毛细血管，变得润物细无声。在停车场的道闸前，它是无需停车缴费的幕后推手；在手机相册里，它是“长按提取文字”的便捷功能。金融行业无疑是最大的受益者之一，以前需要柜员手工录入的成堆票据、身份证和银行卡，现在仅需毫秒级的扫描即可入库。更进一步，在工业流水线上，OCR成为了质量检测的“眼睛”，死死盯着每一个零件上的序列号，确保生产的可追溯性万无一失。</w:t>
      </w:r>
    </w:p>
    <w:p>
      <w:pPr>
        <w:spacing w:before="200" w:after="100"/>
        <w:ind w:firstLine="42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三、 技术难点</w:t>
      </w: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尽管我们在处理标准扫描文档时已能达到99%以上的准确率，但在真实世界里，OCR依然常常“犯错”。首先，自然场景下的光照从来不会配合算法——斑驳的树影、玻璃的反光或是强光过曝，都能让文字瞬间“隐形”。其次是棘手的几何畸变，路边的广告牌很少正对着摄像头，弯曲、倾斜甚至折叠的文字，对传统的矩形框检测提出了巨大的考验。此外，中文汉字数以万计的庞大类别，以及手写体那龙飞凤舞的笔迹，至今仍是检验模型泛化能力的试金石。</w:t>
      </w:r>
    </w:p>
    <w:p>
      <w:pPr>
        <w:spacing w:before="200" w:after="100"/>
        <w:ind w:firstLine="42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四、 结论与展望</w:t>
      </w: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OCR技术的下半场，拼的不再是单纯的字符识别率，而是深层的“理解力”。未来的趋势显而易见：检测与识别割裂的局面极有可能被端到端（End-to-End）模型终结，误差传递将成为历史。更令人兴奋的是，当OCR接入大型语言模型（LLM）的“大脑”后，它将不再只是一个认字的工具，而是进化为能读懂表格逻辑、理解文档语义的智能助手。这，才是文档智能化的终极形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2026-01-30T15:56:05.710Z</dcterms:created>
  <dcterms:modified xsi:type="dcterms:W3CDTF">2026-01-30T15:56:05.710Z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