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ageBreakBefore w:val="0"/>
        <w:kinsoku/>
        <w:wordWrap/>
        <w:overflowPunct/>
        <w:topLinePunct w:val="0"/>
        <w:autoSpaceDE/>
        <w:autoSpaceDN/>
        <w:bidi w:val="0"/>
        <w:adjustRightInd/>
        <w:snapToGrid/>
        <w:spacing w:line="360" w:lineRule="auto"/>
        <w:jc w:val="center"/>
        <w:textAlignment w:val="auto"/>
        <w:outlineLvl w:val="0"/>
        <w:rPr>
          <w:rFonts w:ascii="黑体" w:hAnsi="华文楷体" w:eastAsia="黑体" w:cs="华文楷体"/>
          <w:sz w:val="36"/>
          <w:szCs w:val="32"/>
        </w:rPr>
      </w:pPr>
      <w:bookmarkStart w:id="0" w:name="_Toc17904"/>
      <w:r>
        <w:rPr>
          <w:rFonts w:hint="eastAsia" w:ascii="黑体" w:hAnsi="华文楷体" w:eastAsia="黑体" w:cs="华文楷体"/>
          <w:sz w:val="36"/>
          <w:szCs w:val="32"/>
        </w:rPr>
        <w:t>中国国际大学生创新大赛</w:t>
      </w:r>
      <w:bookmarkEnd w:id="0"/>
    </w:p>
    <w:p>
      <w:pPr>
        <w:pageBreakBefore w:val="0"/>
        <w:kinsoku/>
        <w:wordWrap/>
        <w:overflowPunct/>
        <w:topLinePunct w:val="0"/>
        <w:autoSpaceDE/>
        <w:autoSpaceDN/>
        <w:bidi w:val="0"/>
        <w:adjustRightInd/>
        <w:snapToGrid/>
        <w:spacing w:line="360" w:lineRule="auto"/>
        <w:jc w:val="both"/>
        <w:textAlignment w:val="auto"/>
        <w:rPr>
          <w:sz w:val="44"/>
          <w:szCs w:val="40"/>
        </w:rPr>
      </w:pPr>
    </w:p>
    <w:p>
      <w:pPr>
        <w:pageBreakBefore w:val="0"/>
        <w:kinsoku/>
        <w:wordWrap/>
        <w:overflowPunct/>
        <w:topLinePunct w:val="0"/>
        <w:autoSpaceDE/>
        <w:autoSpaceDN/>
        <w:bidi w:val="0"/>
        <w:adjustRightInd/>
        <w:snapToGrid/>
        <w:spacing w:line="360" w:lineRule="auto"/>
        <w:jc w:val="center"/>
        <w:textAlignment w:val="auto"/>
        <w:outlineLvl w:val="0"/>
        <w:rPr>
          <w:sz w:val="44"/>
          <w:szCs w:val="40"/>
        </w:rPr>
      </w:pPr>
      <w:bookmarkStart w:id="1" w:name="_Toc32657"/>
      <w:r>
        <w:rPr>
          <w:rFonts w:hint="eastAsia"/>
          <w:sz w:val="44"/>
          <w:szCs w:val="40"/>
        </w:rPr>
        <w:t>*</w:t>
      </w:r>
      <w:r>
        <w:rPr>
          <w:sz w:val="44"/>
          <w:szCs w:val="40"/>
        </w:rPr>
        <w:t>*********</w:t>
      </w:r>
      <w:bookmarkEnd w:id="1"/>
    </w:p>
    <w:p>
      <w:pPr>
        <w:pageBreakBefore w:val="0"/>
        <w:kinsoku/>
        <w:wordWrap/>
        <w:overflowPunct/>
        <w:topLinePunct w:val="0"/>
        <w:autoSpaceDE/>
        <w:autoSpaceDN/>
        <w:bidi w:val="0"/>
        <w:adjustRightInd/>
        <w:snapToGrid/>
        <w:spacing w:line="360" w:lineRule="auto"/>
        <w:jc w:val="center"/>
        <w:textAlignment w:val="auto"/>
        <w:outlineLvl w:val="0"/>
        <w:rPr>
          <w:b/>
          <w:bCs/>
          <w:sz w:val="52"/>
          <w:szCs w:val="48"/>
        </w:rPr>
      </w:pPr>
      <w:bookmarkStart w:id="2" w:name="_Toc25979"/>
      <w:r>
        <w:rPr>
          <w:rFonts w:hint="eastAsia"/>
          <w:b/>
          <w:bCs/>
          <w:sz w:val="52"/>
          <w:szCs w:val="48"/>
          <w:lang w:eastAsia="zh-CN"/>
        </w:rPr>
        <w:t>商业</w:t>
      </w:r>
      <w:r>
        <w:rPr>
          <w:rFonts w:hint="eastAsia"/>
          <w:b/>
          <w:bCs/>
          <w:sz w:val="52"/>
          <w:szCs w:val="48"/>
        </w:rPr>
        <w:t>计划书</w:t>
      </w:r>
      <w:bookmarkEnd w:id="2"/>
    </w:p>
    <w:p>
      <w:pPr>
        <w:pageBreakBefore w:val="0"/>
        <w:kinsoku/>
        <w:wordWrap/>
        <w:overflowPunct/>
        <w:topLinePunct w:val="0"/>
        <w:autoSpaceDE/>
        <w:autoSpaceDN/>
        <w:bidi w:val="0"/>
        <w:adjustRightInd/>
        <w:snapToGrid/>
        <w:spacing w:line="360" w:lineRule="auto"/>
        <w:jc w:val="center"/>
        <w:textAlignment w:val="auto"/>
        <w:outlineLvl w:val="0"/>
        <w:rPr>
          <w:rFonts w:hint="eastAsia" w:ascii="仿宋_GB2312" w:eastAsia="仿宋_GB2312"/>
          <w:b/>
          <w:sz w:val="32"/>
          <w:szCs w:val="32"/>
        </w:rPr>
      </w:pPr>
      <w:bookmarkStart w:id="3" w:name="_Toc16457"/>
      <w:r>
        <w:rPr>
          <w:rFonts w:hint="eastAsia" w:ascii="仿宋_GB2312" w:eastAsia="仿宋_GB2312"/>
          <w:b/>
          <w:sz w:val="32"/>
          <w:szCs w:val="32"/>
        </w:rPr>
        <w:t>（参考格式）</w:t>
      </w:r>
      <w:bookmarkEnd w:id="3"/>
    </w:p>
    <w:p>
      <w:pPr>
        <w:pageBreakBefore w:val="0"/>
        <w:kinsoku/>
        <w:wordWrap/>
        <w:overflowPunct/>
        <w:topLinePunct w:val="0"/>
        <w:autoSpaceDE/>
        <w:autoSpaceDN/>
        <w:bidi w:val="0"/>
        <w:adjustRightInd/>
        <w:snapToGrid/>
        <w:spacing w:line="360" w:lineRule="auto"/>
        <w:jc w:val="center"/>
        <w:textAlignment w:val="auto"/>
        <w:rPr>
          <w:rFonts w:hint="eastAsia" w:ascii="仿宋_GB2312" w:eastAsia="仿宋_GB2312"/>
          <w:b/>
          <w:sz w:val="32"/>
          <w:szCs w:val="32"/>
        </w:rPr>
      </w:pPr>
    </w:p>
    <w:p>
      <w:pPr>
        <w:pageBreakBefore w:val="0"/>
        <w:kinsoku/>
        <w:wordWrap/>
        <w:overflowPunct/>
        <w:topLinePunct w:val="0"/>
        <w:autoSpaceDE/>
        <w:autoSpaceDN/>
        <w:bidi w:val="0"/>
        <w:adjustRightInd/>
        <w:snapToGrid/>
        <w:spacing w:line="360" w:lineRule="auto"/>
        <w:textAlignment w:val="auto"/>
        <w:rPr>
          <w:rFonts w:ascii="楷体" w:hAnsi="楷体" w:eastAsia="楷体"/>
          <w:bCs/>
          <w:color w:val="FF0000"/>
          <w:sz w:val="24"/>
        </w:rPr>
      </w:pPr>
      <w:r>
        <w:rPr>
          <w:rFonts w:hint="eastAsia" w:ascii="仿宋_GB2312" w:eastAsia="仿宋_GB2312"/>
          <w:b/>
          <w:sz w:val="32"/>
          <w:szCs w:val="32"/>
        </w:rPr>
        <w:t>（</w:t>
      </w:r>
      <w:r>
        <w:rPr>
          <w:rFonts w:hint="eastAsia" w:ascii="楷体" w:hAnsi="楷体" w:eastAsia="楷体"/>
          <w:bCs/>
          <w:color w:val="FF0000"/>
          <w:sz w:val="24"/>
        </w:rPr>
        <w:t>项目名称，一句话项目亮点，公司或团队名称+能够体现产品</w:t>
      </w:r>
      <w:r>
        <w:rPr>
          <w:rFonts w:ascii="楷体" w:hAnsi="楷体" w:eastAsia="楷体"/>
          <w:bCs/>
          <w:color w:val="FF0000"/>
          <w:sz w:val="24"/>
        </w:rPr>
        <w:t>/</w:t>
      </w:r>
      <w:r>
        <w:rPr>
          <w:rFonts w:hint="eastAsia" w:ascii="楷体" w:hAnsi="楷体" w:eastAsia="楷体"/>
          <w:bCs/>
          <w:color w:val="FF0000"/>
          <w:sz w:val="24"/>
        </w:rPr>
        <w:t>技术</w:t>
      </w:r>
      <w:r>
        <w:rPr>
          <w:rFonts w:ascii="楷体" w:hAnsi="楷体" w:eastAsia="楷体"/>
          <w:bCs/>
          <w:color w:val="FF0000"/>
          <w:sz w:val="24"/>
        </w:rPr>
        <w:t>/</w:t>
      </w:r>
      <w:r>
        <w:rPr>
          <w:rFonts w:hint="eastAsia" w:ascii="楷体" w:hAnsi="楷体" w:eastAsia="楷体"/>
          <w:bCs/>
          <w:color w:val="FF0000"/>
          <w:sz w:val="24"/>
        </w:rPr>
        <w:t>服务，更显专业化。如</w:t>
      </w:r>
      <w:r>
        <w:rPr>
          <w:rFonts w:ascii="楷体" w:hAnsi="楷体" w:eastAsia="楷体"/>
          <w:bCs/>
          <w:color w:val="FF0000"/>
          <w:sz w:val="24"/>
        </w:rPr>
        <w:t>:</w:t>
      </w:r>
      <w:r>
        <w:rPr>
          <w:rFonts w:hint="eastAsia" w:ascii="楷体" w:hAnsi="楷体" w:eastAsia="楷体"/>
          <w:bCs/>
          <w:color w:val="FF0000"/>
          <w:sz w:val="24"/>
        </w:rPr>
        <w:t>中云智车—未来商用无人车行业定义者，不建议使用公司名作为项目名称，尤其没有注册公司的创意组项目</w:t>
      </w:r>
    </w:p>
    <w:p>
      <w:pPr>
        <w:pageBreakBefore w:val="0"/>
        <w:kinsoku/>
        <w:wordWrap/>
        <w:overflowPunct/>
        <w:topLinePunct w:val="0"/>
        <w:autoSpaceDE/>
        <w:autoSpaceDN/>
        <w:bidi w:val="0"/>
        <w:adjustRightInd/>
        <w:snapToGrid/>
        <w:spacing w:line="360" w:lineRule="auto"/>
        <w:textAlignment w:val="auto"/>
        <w:rPr>
          <w:rFonts w:ascii="楷体" w:hAnsi="楷体" w:eastAsia="楷体"/>
          <w:bCs/>
          <w:color w:val="FF0000"/>
          <w:sz w:val="24"/>
        </w:rPr>
      </w:pPr>
      <w:r>
        <w:rPr>
          <w:rFonts w:hint="eastAsia" w:ascii="楷体" w:hAnsi="楷体" w:eastAsia="楷体"/>
          <w:bCs/>
          <w:color w:val="FF0000"/>
          <w:sz w:val="24"/>
        </w:rPr>
        <w:t>要点：1、品牌要响亮，容易记忆，与项目内容直接相关，而且能够给评委产生美好联想，积极向上，充满正能量；</w:t>
      </w:r>
    </w:p>
    <w:p>
      <w:pPr>
        <w:pageBreakBefore w:val="0"/>
        <w:kinsoku/>
        <w:wordWrap/>
        <w:overflowPunct/>
        <w:topLinePunct w:val="0"/>
        <w:autoSpaceDE/>
        <w:autoSpaceDN/>
        <w:bidi w:val="0"/>
        <w:adjustRightInd/>
        <w:snapToGrid/>
        <w:spacing w:line="360" w:lineRule="auto"/>
        <w:ind w:firstLine="480" w:firstLineChars="200"/>
        <w:textAlignment w:val="auto"/>
        <w:rPr>
          <w:b/>
          <w:bCs/>
          <w:sz w:val="52"/>
          <w:szCs w:val="48"/>
        </w:rPr>
      </w:pPr>
      <w:r>
        <w:rPr>
          <w:rFonts w:hint="eastAsia" w:ascii="楷体" w:hAnsi="楷体" w:eastAsia="楷体"/>
          <w:bCs/>
          <w:color w:val="FF0000"/>
          <w:sz w:val="24"/>
        </w:rPr>
        <w:t>2、项目全称与定位，要把项目是用什么技术或方法解决什么问题，解决到什么程度用一句话说清楚，要求定位准确，让评委一眼就能看到是做什么的？做到什么程度？</w:t>
      </w:r>
      <w:r>
        <w:rPr>
          <w:rFonts w:hint="eastAsia" w:ascii="仿宋_GB2312" w:eastAsia="仿宋_GB2312"/>
          <w:b/>
          <w:sz w:val="32"/>
          <w:szCs w:val="32"/>
        </w:rPr>
        <w:t>）</w:t>
      </w:r>
    </w:p>
    <w:p>
      <w:pPr>
        <w:pageBreakBefore w:val="0"/>
        <w:kinsoku/>
        <w:wordWrap/>
        <w:overflowPunct/>
        <w:topLinePunct w:val="0"/>
        <w:autoSpaceDE/>
        <w:autoSpaceDN/>
        <w:bidi w:val="0"/>
        <w:adjustRightInd/>
        <w:snapToGrid/>
        <w:spacing w:line="360" w:lineRule="auto"/>
        <w:ind w:firstLine="1920" w:firstLineChars="600"/>
        <w:textAlignment w:val="auto"/>
        <w:rPr>
          <w:rFonts w:ascii="黑体" w:eastAsia="黑体" w:cs="黑体"/>
          <w:sz w:val="32"/>
          <w:szCs w:val="32"/>
          <w:u w:val="single"/>
          <w:lang w:bidi="ar"/>
        </w:rPr>
      </w:pPr>
      <w:r>
        <w:rPr>
          <w:rFonts w:hint="eastAsia" w:ascii="黑体" w:hAnsi="黑体" w:eastAsia="黑体" w:cs="黑体"/>
          <w:sz w:val="32"/>
          <w:szCs w:val="32"/>
        </w:rPr>
        <w:t>项目名称：</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jc w:val="left"/>
        <w:textAlignment w:val="auto"/>
        <w:rPr>
          <w:color w:val="000000"/>
          <w:sz w:val="28"/>
          <w:szCs w:val="36"/>
        </w:rPr>
      </w:pPr>
      <w:r>
        <w:rPr>
          <w:rFonts w:hint="eastAsia" w:ascii="黑体" w:hAnsi="黑体" w:eastAsia="黑体" w:cs="黑体"/>
          <w:color w:val="000000"/>
          <w:sz w:val="32"/>
          <w:szCs w:val="40"/>
        </w:rPr>
        <w:t>团队名称：</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textAlignment w:val="auto"/>
        <w:rPr>
          <w:sz w:val="32"/>
          <w:szCs w:val="40"/>
        </w:rPr>
      </w:pPr>
      <w:r>
        <w:rPr>
          <w:rFonts w:hint="eastAsia" w:ascii="黑体" w:hAnsi="黑体" w:eastAsia="黑体" w:cs="黑体"/>
          <w:sz w:val="32"/>
          <w:szCs w:val="40"/>
        </w:rPr>
        <w:t>参赛组别：</w:t>
      </w:r>
      <w:r>
        <w:rPr>
          <w:rFonts w:hint="eastAsia" w:ascii="黑体" w:eastAsia="黑体" w:cs="黑体"/>
          <w:sz w:val="32"/>
          <w:szCs w:val="32"/>
          <w:u w:val="single"/>
          <w:lang w:bidi="ar"/>
        </w:rPr>
        <w:t xml:space="preserve">       创意组       </w:t>
      </w:r>
    </w:p>
    <w:p>
      <w:pPr>
        <w:pageBreakBefore w:val="0"/>
        <w:kinsoku/>
        <w:wordWrap/>
        <w:overflowPunct/>
        <w:topLinePunct w:val="0"/>
        <w:autoSpaceDE/>
        <w:autoSpaceDN/>
        <w:bidi w:val="0"/>
        <w:adjustRightInd/>
        <w:snapToGrid/>
        <w:spacing w:line="360" w:lineRule="auto"/>
        <w:ind w:firstLine="1920" w:firstLineChars="600"/>
        <w:jc w:val="left"/>
        <w:textAlignment w:val="auto"/>
        <w:rPr>
          <w:rFonts w:ascii="黑体" w:hAnsi="黑体" w:eastAsia="黑体" w:cs="黑体"/>
          <w:sz w:val="32"/>
          <w:szCs w:val="40"/>
        </w:rPr>
      </w:pPr>
      <w:r>
        <w:rPr>
          <w:rFonts w:hint="eastAsia" w:ascii="黑体" w:hAnsi="黑体" w:eastAsia="黑体" w:cs="黑体"/>
          <w:sz w:val="32"/>
          <w:szCs w:val="40"/>
        </w:rPr>
        <w:t>参赛省份：</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jc w:val="left"/>
        <w:textAlignment w:val="auto"/>
        <w:rPr>
          <w:rFonts w:ascii="黑体" w:eastAsia="黑体" w:cs="黑体"/>
          <w:sz w:val="32"/>
          <w:szCs w:val="32"/>
          <w:u w:val="single"/>
          <w:lang w:bidi="ar"/>
        </w:rPr>
      </w:pPr>
      <w:r>
        <w:rPr>
          <w:rFonts w:hint="eastAsia" w:ascii="黑体" w:hAnsi="黑体" w:eastAsia="黑体" w:cs="黑体"/>
          <w:sz w:val="32"/>
          <w:szCs w:val="40"/>
        </w:rPr>
        <w:t>所属高校：</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jc w:val="center"/>
        <w:textAlignment w:val="auto"/>
        <w:rPr>
          <w:rFonts w:ascii="黑体" w:eastAsia="黑体" w:cs="黑体"/>
          <w:sz w:val="32"/>
          <w:szCs w:val="32"/>
          <w:u w:val="single"/>
          <w:lang w:bidi="ar"/>
        </w:rPr>
      </w:pPr>
    </w:p>
    <w:p>
      <w:pPr>
        <w:pStyle w:val="19"/>
        <w:pageBreakBefore w:val="0"/>
        <w:widowControl/>
        <w:kinsoku/>
        <w:wordWrap/>
        <w:overflowPunct/>
        <w:topLinePunct w:val="0"/>
        <w:autoSpaceDE/>
        <w:autoSpaceDN/>
        <w:bidi w:val="0"/>
        <w:adjustRightInd/>
        <w:snapToGrid/>
        <w:spacing w:line="360" w:lineRule="auto"/>
        <w:jc w:val="center"/>
        <w:textAlignment w:val="auto"/>
        <w:outlineLvl w:val="0"/>
        <w:rPr>
          <w:sz w:val="32"/>
          <w:szCs w:val="40"/>
        </w:rPr>
      </w:pPr>
      <w:bookmarkStart w:id="4" w:name="_Toc31600"/>
      <w:r>
        <w:rPr>
          <w:rFonts w:hint="eastAsia" w:ascii="宋体" w:hAnsi="宋体" w:cs="宋体"/>
          <w:bCs/>
          <w:szCs w:val="24"/>
        </w:rPr>
        <w:t>（注：本目录仅供参考，创作者可根据作品实际情况进行增减或调整）</w:t>
      </w:r>
      <w:bookmarkEnd w:id="4"/>
    </w:p>
    <w:p>
      <w:pPr>
        <w:pageBreakBefore w:val="0"/>
        <w:kinsoku/>
        <w:wordWrap/>
        <w:overflowPunct/>
        <w:topLinePunct w:val="0"/>
        <w:autoSpaceDE/>
        <w:autoSpaceDN/>
        <w:bidi w:val="0"/>
        <w:adjustRightInd/>
        <w:snapToGrid/>
        <w:spacing w:line="360" w:lineRule="auto"/>
        <w:jc w:val="center"/>
        <w:textAlignment w:val="auto"/>
        <w:rPr>
          <w:rFonts w:ascii="楷体" w:hAnsi="楷体" w:eastAsia="楷体"/>
          <w:bCs/>
          <w:sz w:val="24"/>
        </w:rPr>
        <w:sectPr>
          <w:pgSz w:w="11906" w:h="16838"/>
          <w:pgMar w:top="1418" w:right="1474" w:bottom="1418" w:left="1588" w:header="851" w:footer="1701" w:gutter="0"/>
          <w:cols w:space="720" w:num="1"/>
        </w:sectPr>
      </w:pPr>
      <w:r>
        <w:rPr>
          <w:rFonts w:ascii="黑体" w:eastAsia="黑体"/>
          <w:b/>
          <w:bCs/>
          <w:sz w:val="44"/>
          <w:szCs w:val="44"/>
        </w:rPr>
        <w:br w:type="page"/>
      </w:r>
    </w:p>
    <w:sdt>
      <w:sdtPr>
        <w:rPr>
          <w:rFonts w:hint="eastAsia" w:ascii="黑体" w:hAnsi="黑体" w:eastAsia="黑体" w:cs="黑体"/>
          <w:kern w:val="2"/>
          <w:sz w:val="32"/>
          <w:szCs w:val="32"/>
          <w:lang w:val="en-US" w:eastAsia="zh-CN" w:bidi="ar-SA"/>
        </w:rPr>
        <w:id w:val="147467742"/>
        <w15:color w:val="DBDBDB"/>
        <w:docPartObj>
          <w:docPartGallery w:val="Table of Contents"/>
          <w:docPartUnique/>
        </w:docPartObj>
      </w:sdtPr>
      <w:sdtEndPr>
        <w:rPr>
          <w:rFonts w:hint="eastAsia" w:ascii="黑体" w:hAnsi="黑体" w:eastAsia="黑体" w:cs="黑体"/>
          <w:b/>
          <w:bCs w:val="0"/>
          <w:kern w:val="44"/>
          <w:sz w:val="44"/>
          <w:szCs w:val="32"/>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bookmarkStart w:id="157" w:name="_GoBack"/>
          <w:bookmarkEnd w:id="157"/>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TOC \o "1-2" \h \u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_Toc21432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一、项目概要</w:t>
          </w:r>
          <w:r>
            <w:rPr>
              <w:b w:val="0"/>
              <w:bCs w:val="0"/>
              <w:sz w:val="24"/>
              <w:szCs w:val="24"/>
            </w:rPr>
            <w:tab/>
          </w:r>
          <w:r>
            <w:rPr>
              <w:b w:val="0"/>
              <w:bCs w:val="0"/>
              <w:sz w:val="24"/>
              <w:szCs w:val="24"/>
            </w:rPr>
            <w:fldChar w:fldCharType="begin"/>
          </w:r>
          <w:r>
            <w:rPr>
              <w:b w:val="0"/>
              <w:bCs w:val="0"/>
              <w:sz w:val="24"/>
              <w:szCs w:val="24"/>
            </w:rPr>
            <w:instrText xml:space="preserve"> PAGEREF _Toc21432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_Toc10324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二、市场分析</w:t>
          </w:r>
          <w:r>
            <w:rPr>
              <w:b w:val="0"/>
              <w:bCs w:val="0"/>
              <w:sz w:val="24"/>
              <w:szCs w:val="24"/>
            </w:rPr>
            <w:tab/>
          </w:r>
          <w:r>
            <w:rPr>
              <w:b w:val="0"/>
              <w:bCs w:val="0"/>
              <w:sz w:val="24"/>
              <w:szCs w:val="24"/>
            </w:rPr>
            <w:fldChar w:fldCharType="begin"/>
          </w:r>
          <w:r>
            <w:rPr>
              <w:b w:val="0"/>
              <w:bCs w:val="0"/>
              <w:sz w:val="24"/>
              <w:szCs w:val="24"/>
            </w:rPr>
            <w:instrText xml:space="preserve"> PAGEREF _Toc10324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_Toc25112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w:t>
          </w:r>
          <w:r>
            <w:rPr>
              <w:rFonts w:hint="eastAsia"/>
              <w:b w:val="0"/>
              <w:bCs w:val="0"/>
              <w:sz w:val="24"/>
              <w:szCs w:val="24"/>
            </w:rPr>
            <w:t>项目背景</w:t>
          </w:r>
          <w:r>
            <w:rPr>
              <w:b w:val="0"/>
              <w:bCs w:val="0"/>
              <w:sz w:val="24"/>
              <w:szCs w:val="24"/>
            </w:rPr>
            <w:tab/>
          </w:r>
          <w:r>
            <w:rPr>
              <w:b w:val="0"/>
              <w:bCs w:val="0"/>
              <w:sz w:val="24"/>
              <w:szCs w:val="24"/>
            </w:rPr>
            <w:fldChar w:fldCharType="begin"/>
          </w:r>
          <w:r>
            <w:rPr>
              <w:b w:val="0"/>
              <w:bCs w:val="0"/>
              <w:sz w:val="24"/>
              <w:szCs w:val="24"/>
            </w:rPr>
            <w:instrText xml:space="preserve"> PAGEREF _Toc25112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_Toc24121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（二）痛点分析</w:t>
          </w:r>
          <w:r>
            <w:rPr>
              <w:b w:val="0"/>
              <w:bCs w:val="0"/>
              <w:sz w:val="24"/>
              <w:szCs w:val="24"/>
            </w:rPr>
            <w:tab/>
          </w:r>
          <w:r>
            <w:rPr>
              <w:b w:val="0"/>
              <w:bCs w:val="0"/>
              <w:sz w:val="24"/>
              <w:szCs w:val="24"/>
            </w:rPr>
            <w:fldChar w:fldCharType="begin"/>
          </w:r>
          <w:r>
            <w:rPr>
              <w:b w:val="0"/>
              <w:bCs w:val="0"/>
              <w:sz w:val="24"/>
              <w:szCs w:val="24"/>
            </w:rPr>
            <w:instrText xml:space="preserve"> PAGEREF _Toc24121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_Toc15613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（三）市场规模</w:t>
          </w:r>
          <w:r>
            <w:rPr>
              <w:b w:val="0"/>
              <w:bCs w:val="0"/>
              <w:sz w:val="24"/>
              <w:szCs w:val="24"/>
            </w:rPr>
            <w:tab/>
          </w:r>
          <w:r>
            <w:rPr>
              <w:b w:val="0"/>
              <w:bCs w:val="0"/>
              <w:sz w:val="24"/>
              <w:szCs w:val="24"/>
            </w:rPr>
            <w:fldChar w:fldCharType="begin"/>
          </w:r>
          <w:r>
            <w:rPr>
              <w:b w:val="0"/>
              <w:bCs w:val="0"/>
              <w:sz w:val="24"/>
              <w:szCs w:val="24"/>
            </w:rPr>
            <w:instrText xml:space="preserve"> PAGEREF _Toc15613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_Toc30951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（四）项目机会</w:t>
          </w:r>
          <w:r>
            <w:rPr>
              <w:b w:val="0"/>
              <w:bCs w:val="0"/>
              <w:sz w:val="24"/>
              <w:szCs w:val="24"/>
            </w:rPr>
            <w:tab/>
          </w:r>
          <w:r>
            <w:rPr>
              <w:b w:val="0"/>
              <w:bCs w:val="0"/>
              <w:sz w:val="24"/>
              <w:szCs w:val="24"/>
            </w:rPr>
            <w:fldChar w:fldCharType="begin"/>
          </w:r>
          <w:r>
            <w:rPr>
              <w:b w:val="0"/>
              <w:bCs w:val="0"/>
              <w:sz w:val="24"/>
              <w:szCs w:val="24"/>
            </w:rPr>
            <w:instrText xml:space="preserve"> PAGEREF _Toc30951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_Toc1913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三、产品/服务</w:t>
          </w:r>
          <w:r>
            <w:rPr>
              <w:b w:val="0"/>
              <w:bCs w:val="0"/>
              <w:sz w:val="24"/>
              <w:szCs w:val="24"/>
            </w:rPr>
            <w:tab/>
          </w:r>
          <w:r>
            <w:rPr>
              <w:b w:val="0"/>
              <w:bCs w:val="0"/>
              <w:sz w:val="24"/>
              <w:szCs w:val="24"/>
            </w:rPr>
            <w:fldChar w:fldCharType="begin"/>
          </w:r>
          <w:r>
            <w:rPr>
              <w:b w:val="0"/>
              <w:bCs w:val="0"/>
              <w:sz w:val="24"/>
              <w:szCs w:val="24"/>
            </w:rPr>
            <w:instrText xml:space="preserve"> PAGEREF _Toc1913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_Toc29704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（一）产品/服务介绍</w:t>
          </w:r>
          <w:r>
            <w:rPr>
              <w:b w:val="0"/>
              <w:bCs w:val="0"/>
              <w:sz w:val="24"/>
              <w:szCs w:val="24"/>
            </w:rPr>
            <w:tab/>
          </w:r>
          <w:r>
            <w:rPr>
              <w:b w:val="0"/>
              <w:bCs w:val="0"/>
              <w:sz w:val="24"/>
              <w:szCs w:val="24"/>
            </w:rPr>
            <w:fldChar w:fldCharType="begin"/>
          </w:r>
          <w:r>
            <w:rPr>
              <w:b w:val="0"/>
              <w:bCs w:val="0"/>
              <w:sz w:val="24"/>
              <w:szCs w:val="24"/>
            </w:rPr>
            <w:instrText xml:space="preserve"> PAGEREF _Toc29704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_Toc2041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（二）技术路线</w:t>
          </w:r>
          <w:r>
            <w:rPr>
              <w:b w:val="0"/>
              <w:bCs w:val="0"/>
              <w:sz w:val="24"/>
              <w:szCs w:val="24"/>
            </w:rPr>
            <w:tab/>
          </w:r>
          <w:r>
            <w:rPr>
              <w:b w:val="0"/>
              <w:bCs w:val="0"/>
              <w:sz w:val="24"/>
              <w:szCs w:val="24"/>
            </w:rPr>
            <w:fldChar w:fldCharType="begin"/>
          </w:r>
          <w:r>
            <w:rPr>
              <w:b w:val="0"/>
              <w:bCs w:val="0"/>
              <w:sz w:val="24"/>
              <w:szCs w:val="24"/>
            </w:rPr>
            <w:instrText xml:space="preserve"> PAGEREF _Toc2041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_Toc6138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（三）项目创新</w:t>
          </w:r>
          <w:r>
            <w:rPr>
              <w:b w:val="0"/>
              <w:bCs w:val="0"/>
              <w:sz w:val="24"/>
              <w:szCs w:val="24"/>
            </w:rPr>
            <w:tab/>
          </w:r>
          <w:r>
            <w:rPr>
              <w:b w:val="0"/>
              <w:bCs w:val="0"/>
              <w:sz w:val="24"/>
              <w:szCs w:val="24"/>
            </w:rPr>
            <w:fldChar w:fldCharType="begin"/>
          </w:r>
          <w:r>
            <w:rPr>
              <w:b w:val="0"/>
              <w:bCs w:val="0"/>
              <w:sz w:val="24"/>
              <w:szCs w:val="24"/>
            </w:rPr>
            <w:instrText xml:space="preserve"> PAGEREF _Toc6138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_Toc14952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四、商业模式</w:t>
          </w:r>
          <w:r>
            <w:rPr>
              <w:b w:val="0"/>
              <w:bCs w:val="0"/>
              <w:sz w:val="24"/>
              <w:szCs w:val="24"/>
            </w:rPr>
            <w:tab/>
          </w:r>
          <w:r>
            <w:rPr>
              <w:b w:val="0"/>
              <w:bCs w:val="0"/>
              <w:sz w:val="24"/>
              <w:szCs w:val="24"/>
            </w:rPr>
            <w:fldChar w:fldCharType="begin"/>
          </w:r>
          <w:r>
            <w:rPr>
              <w:b w:val="0"/>
              <w:bCs w:val="0"/>
              <w:sz w:val="24"/>
              <w:szCs w:val="24"/>
            </w:rPr>
            <w:instrText xml:space="preserve"> PAGEREF _Toc14952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_Toc31226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（一）目标客户</w:t>
          </w:r>
          <w:r>
            <w:rPr>
              <w:b w:val="0"/>
              <w:bCs w:val="0"/>
              <w:sz w:val="24"/>
              <w:szCs w:val="24"/>
            </w:rPr>
            <w:tab/>
          </w:r>
          <w:r>
            <w:rPr>
              <w:b w:val="0"/>
              <w:bCs w:val="0"/>
              <w:sz w:val="24"/>
              <w:szCs w:val="24"/>
            </w:rPr>
            <w:fldChar w:fldCharType="begin"/>
          </w:r>
          <w:r>
            <w:rPr>
              <w:b w:val="0"/>
              <w:bCs w:val="0"/>
              <w:sz w:val="24"/>
              <w:szCs w:val="24"/>
            </w:rPr>
            <w:instrText xml:space="preserve"> PAGEREF _Toc31226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_Toc11299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（二）业务逻辑</w:t>
          </w:r>
          <w:r>
            <w:rPr>
              <w:b w:val="0"/>
              <w:bCs w:val="0"/>
              <w:sz w:val="24"/>
              <w:szCs w:val="24"/>
            </w:rPr>
            <w:tab/>
          </w:r>
          <w:r>
            <w:rPr>
              <w:b w:val="0"/>
              <w:bCs w:val="0"/>
              <w:sz w:val="24"/>
              <w:szCs w:val="24"/>
            </w:rPr>
            <w:fldChar w:fldCharType="begin"/>
          </w:r>
          <w:r>
            <w:rPr>
              <w:b w:val="0"/>
              <w:bCs w:val="0"/>
              <w:sz w:val="24"/>
              <w:szCs w:val="24"/>
            </w:rPr>
            <w:instrText xml:space="preserve"> PAGEREF _Toc11299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_Toc21177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（三）盈利模式</w:t>
          </w:r>
          <w:r>
            <w:rPr>
              <w:b w:val="0"/>
              <w:bCs w:val="0"/>
              <w:sz w:val="24"/>
              <w:szCs w:val="24"/>
            </w:rPr>
            <w:tab/>
          </w:r>
          <w:r>
            <w:rPr>
              <w:b w:val="0"/>
              <w:bCs w:val="0"/>
              <w:sz w:val="24"/>
              <w:szCs w:val="24"/>
            </w:rPr>
            <w:fldChar w:fldCharType="begin"/>
          </w:r>
          <w:r>
            <w:rPr>
              <w:b w:val="0"/>
              <w:bCs w:val="0"/>
              <w:sz w:val="24"/>
              <w:szCs w:val="24"/>
            </w:rPr>
            <w:instrText xml:space="preserve"> PAGEREF _Toc21177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_Toc14521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五、营销策略</w:t>
          </w:r>
          <w:r>
            <w:rPr>
              <w:b w:val="0"/>
              <w:bCs w:val="0"/>
              <w:sz w:val="24"/>
              <w:szCs w:val="24"/>
            </w:rPr>
            <w:tab/>
          </w:r>
          <w:r>
            <w:rPr>
              <w:b w:val="0"/>
              <w:bCs w:val="0"/>
              <w:sz w:val="24"/>
              <w:szCs w:val="24"/>
            </w:rPr>
            <w:fldChar w:fldCharType="begin"/>
          </w:r>
          <w:r>
            <w:rPr>
              <w:b w:val="0"/>
              <w:bCs w:val="0"/>
              <w:sz w:val="24"/>
              <w:szCs w:val="24"/>
            </w:rPr>
            <w:instrText xml:space="preserve"> PAGEREF _Toc14521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_Toc1698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（一）SWOT分析</w:t>
          </w:r>
          <w:r>
            <w:rPr>
              <w:b w:val="0"/>
              <w:bCs w:val="0"/>
              <w:sz w:val="24"/>
              <w:szCs w:val="24"/>
            </w:rPr>
            <w:tab/>
          </w:r>
          <w:r>
            <w:rPr>
              <w:b w:val="0"/>
              <w:bCs w:val="0"/>
              <w:sz w:val="24"/>
              <w:szCs w:val="24"/>
            </w:rPr>
            <w:fldChar w:fldCharType="begin"/>
          </w:r>
          <w:r>
            <w:rPr>
              <w:b w:val="0"/>
              <w:bCs w:val="0"/>
              <w:sz w:val="24"/>
              <w:szCs w:val="24"/>
            </w:rPr>
            <w:instrText xml:space="preserve"> PAGEREF _Toc1698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_Toc13718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（二）竞品分析</w:t>
          </w:r>
          <w:r>
            <w:rPr>
              <w:b w:val="0"/>
              <w:bCs w:val="0"/>
              <w:sz w:val="24"/>
              <w:szCs w:val="24"/>
            </w:rPr>
            <w:tab/>
          </w:r>
          <w:r>
            <w:rPr>
              <w:b w:val="0"/>
              <w:bCs w:val="0"/>
              <w:sz w:val="24"/>
              <w:szCs w:val="24"/>
            </w:rPr>
            <w:fldChar w:fldCharType="begin"/>
          </w:r>
          <w:r>
            <w:rPr>
              <w:b w:val="0"/>
              <w:bCs w:val="0"/>
              <w:sz w:val="24"/>
              <w:szCs w:val="24"/>
            </w:rPr>
            <w:instrText xml:space="preserve"> PAGEREF _Toc13718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_Toc21856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（三）营销体系</w:t>
          </w:r>
          <w:r>
            <w:rPr>
              <w:b w:val="0"/>
              <w:bCs w:val="0"/>
              <w:sz w:val="24"/>
              <w:szCs w:val="24"/>
            </w:rPr>
            <w:tab/>
          </w:r>
          <w:r>
            <w:rPr>
              <w:b w:val="0"/>
              <w:bCs w:val="0"/>
              <w:sz w:val="24"/>
              <w:szCs w:val="24"/>
            </w:rPr>
            <w:fldChar w:fldCharType="begin"/>
          </w:r>
          <w:r>
            <w:rPr>
              <w:b w:val="0"/>
              <w:bCs w:val="0"/>
              <w:sz w:val="24"/>
              <w:szCs w:val="24"/>
            </w:rPr>
            <w:instrText xml:space="preserve"> PAGEREF _Toc21856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_Toc19456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六、项目团队</w:t>
          </w:r>
          <w:r>
            <w:rPr>
              <w:b w:val="0"/>
              <w:bCs w:val="0"/>
              <w:sz w:val="24"/>
              <w:szCs w:val="24"/>
            </w:rPr>
            <w:tab/>
          </w:r>
          <w:r>
            <w:rPr>
              <w:b w:val="0"/>
              <w:bCs w:val="0"/>
              <w:sz w:val="24"/>
              <w:szCs w:val="24"/>
            </w:rPr>
            <w:fldChar w:fldCharType="begin"/>
          </w:r>
          <w:r>
            <w:rPr>
              <w:b w:val="0"/>
              <w:bCs w:val="0"/>
              <w:sz w:val="24"/>
              <w:szCs w:val="24"/>
            </w:rPr>
            <w:instrText xml:space="preserve"> PAGEREF _Toc19456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_Toc4697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（一）创始人</w:t>
          </w:r>
          <w:r>
            <w:rPr>
              <w:b w:val="0"/>
              <w:bCs w:val="0"/>
              <w:sz w:val="24"/>
              <w:szCs w:val="24"/>
            </w:rPr>
            <w:tab/>
          </w:r>
          <w:r>
            <w:rPr>
              <w:b w:val="0"/>
              <w:bCs w:val="0"/>
              <w:sz w:val="24"/>
              <w:szCs w:val="24"/>
            </w:rPr>
            <w:fldChar w:fldCharType="begin"/>
          </w:r>
          <w:r>
            <w:rPr>
              <w:b w:val="0"/>
              <w:bCs w:val="0"/>
              <w:sz w:val="24"/>
              <w:szCs w:val="24"/>
            </w:rPr>
            <w:instrText xml:space="preserve"> PAGEREF _Toc4697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_Toc31765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（二）核心团队</w:t>
          </w:r>
          <w:r>
            <w:rPr>
              <w:b w:val="0"/>
              <w:bCs w:val="0"/>
              <w:sz w:val="24"/>
              <w:szCs w:val="24"/>
            </w:rPr>
            <w:tab/>
          </w:r>
          <w:r>
            <w:rPr>
              <w:b w:val="0"/>
              <w:bCs w:val="0"/>
              <w:sz w:val="24"/>
              <w:szCs w:val="24"/>
            </w:rPr>
            <w:fldChar w:fldCharType="begin"/>
          </w:r>
          <w:r>
            <w:rPr>
              <w:b w:val="0"/>
              <w:bCs w:val="0"/>
              <w:sz w:val="24"/>
              <w:szCs w:val="24"/>
            </w:rPr>
            <w:instrText xml:space="preserve"> PAGEREF _Toc31765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_Toc5691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（三）组织管理</w:t>
          </w:r>
          <w:r>
            <w:rPr>
              <w:b w:val="0"/>
              <w:bCs w:val="0"/>
              <w:sz w:val="24"/>
              <w:szCs w:val="24"/>
            </w:rPr>
            <w:tab/>
          </w:r>
          <w:r>
            <w:rPr>
              <w:b w:val="0"/>
              <w:bCs w:val="0"/>
              <w:sz w:val="24"/>
              <w:szCs w:val="24"/>
            </w:rPr>
            <w:fldChar w:fldCharType="begin"/>
          </w:r>
          <w:r>
            <w:rPr>
              <w:b w:val="0"/>
              <w:bCs w:val="0"/>
              <w:sz w:val="24"/>
              <w:szCs w:val="24"/>
            </w:rPr>
            <w:instrText xml:space="preserve"> PAGEREF _Toc5691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_Toc22702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（四）指导教师</w:t>
          </w:r>
          <w:r>
            <w:rPr>
              <w:b w:val="0"/>
              <w:bCs w:val="0"/>
              <w:sz w:val="24"/>
              <w:szCs w:val="24"/>
            </w:rPr>
            <w:tab/>
          </w:r>
          <w:r>
            <w:rPr>
              <w:b w:val="0"/>
              <w:bCs w:val="0"/>
              <w:sz w:val="24"/>
              <w:szCs w:val="24"/>
            </w:rPr>
            <w:fldChar w:fldCharType="begin"/>
          </w:r>
          <w:r>
            <w:rPr>
              <w:b w:val="0"/>
              <w:bCs w:val="0"/>
              <w:sz w:val="24"/>
              <w:szCs w:val="24"/>
            </w:rPr>
            <w:instrText xml:space="preserve"> PAGEREF _Toc22702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_Toc22997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（五）专家顾问</w:t>
          </w:r>
          <w:r>
            <w:rPr>
              <w:b w:val="0"/>
              <w:bCs w:val="0"/>
              <w:sz w:val="24"/>
              <w:szCs w:val="24"/>
            </w:rPr>
            <w:tab/>
          </w:r>
          <w:r>
            <w:rPr>
              <w:b w:val="0"/>
              <w:bCs w:val="0"/>
              <w:sz w:val="24"/>
              <w:szCs w:val="24"/>
            </w:rPr>
            <w:fldChar w:fldCharType="begin"/>
          </w:r>
          <w:r>
            <w:rPr>
              <w:b w:val="0"/>
              <w:bCs w:val="0"/>
              <w:sz w:val="24"/>
              <w:szCs w:val="24"/>
            </w:rPr>
            <w:instrText xml:space="preserve"> PAGEREF _Toc22997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_Toc19276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七、发展规划</w:t>
          </w:r>
          <w:r>
            <w:rPr>
              <w:b w:val="0"/>
              <w:bCs w:val="0"/>
              <w:sz w:val="24"/>
              <w:szCs w:val="24"/>
            </w:rPr>
            <w:tab/>
          </w:r>
          <w:r>
            <w:rPr>
              <w:b w:val="0"/>
              <w:bCs w:val="0"/>
              <w:sz w:val="24"/>
              <w:szCs w:val="24"/>
            </w:rPr>
            <w:fldChar w:fldCharType="begin"/>
          </w:r>
          <w:r>
            <w:rPr>
              <w:b w:val="0"/>
              <w:bCs w:val="0"/>
              <w:sz w:val="24"/>
              <w:szCs w:val="24"/>
            </w:rPr>
            <w:instrText xml:space="preserve"> PAGEREF _Toc19276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_Toc27856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（一）项目落地执行</w:t>
          </w:r>
          <w:r>
            <w:rPr>
              <w:b w:val="0"/>
              <w:bCs w:val="0"/>
              <w:sz w:val="24"/>
              <w:szCs w:val="24"/>
            </w:rPr>
            <w:tab/>
          </w:r>
          <w:r>
            <w:rPr>
              <w:b w:val="0"/>
              <w:bCs w:val="0"/>
              <w:sz w:val="24"/>
              <w:szCs w:val="24"/>
            </w:rPr>
            <w:fldChar w:fldCharType="begin"/>
          </w:r>
          <w:r>
            <w:rPr>
              <w:b w:val="0"/>
              <w:bCs w:val="0"/>
              <w:sz w:val="24"/>
              <w:szCs w:val="24"/>
            </w:rPr>
            <w:instrText xml:space="preserve"> PAGEREF _Toc27856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_Toc26748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（二）业务规划</w:t>
          </w:r>
          <w:r>
            <w:rPr>
              <w:b w:val="0"/>
              <w:bCs w:val="0"/>
              <w:sz w:val="24"/>
              <w:szCs w:val="24"/>
            </w:rPr>
            <w:tab/>
          </w:r>
          <w:r>
            <w:rPr>
              <w:b w:val="0"/>
              <w:bCs w:val="0"/>
              <w:sz w:val="24"/>
              <w:szCs w:val="24"/>
            </w:rPr>
            <w:fldChar w:fldCharType="begin"/>
          </w:r>
          <w:r>
            <w:rPr>
              <w:b w:val="0"/>
              <w:bCs w:val="0"/>
              <w:sz w:val="24"/>
              <w:szCs w:val="24"/>
            </w:rPr>
            <w:instrText xml:space="preserve"> PAGEREF _Toc26748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_Toc20222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（三）财务预测</w:t>
          </w:r>
          <w:r>
            <w:rPr>
              <w:b w:val="0"/>
              <w:bCs w:val="0"/>
              <w:sz w:val="24"/>
              <w:szCs w:val="24"/>
            </w:rPr>
            <w:tab/>
          </w:r>
          <w:r>
            <w:rPr>
              <w:b w:val="0"/>
              <w:bCs w:val="0"/>
              <w:sz w:val="24"/>
              <w:szCs w:val="24"/>
            </w:rPr>
            <w:fldChar w:fldCharType="begin"/>
          </w:r>
          <w:r>
            <w:rPr>
              <w:b w:val="0"/>
              <w:bCs w:val="0"/>
              <w:sz w:val="24"/>
              <w:szCs w:val="24"/>
            </w:rPr>
            <w:instrText xml:space="preserve"> PAGEREF _Toc20222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_Toc24664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（四）融资规划</w:t>
          </w:r>
          <w:r>
            <w:rPr>
              <w:b w:val="0"/>
              <w:bCs w:val="0"/>
              <w:sz w:val="24"/>
              <w:szCs w:val="24"/>
            </w:rPr>
            <w:tab/>
          </w:r>
          <w:r>
            <w:rPr>
              <w:b w:val="0"/>
              <w:bCs w:val="0"/>
              <w:sz w:val="24"/>
              <w:szCs w:val="24"/>
            </w:rPr>
            <w:fldChar w:fldCharType="begin"/>
          </w:r>
          <w:r>
            <w:rPr>
              <w:b w:val="0"/>
              <w:bCs w:val="0"/>
              <w:sz w:val="24"/>
              <w:szCs w:val="24"/>
            </w:rPr>
            <w:instrText xml:space="preserve"> PAGEREF _Toc24664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_Toc10587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八、教育实效</w:t>
          </w:r>
          <w:r>
            <w:rPr>
              <w:b w:val="0"/>
              <w:bCs w:val="0"/>
              <w:sz w:val="24"/>
              <w:szCs w:val="24"/>
            </w:rPr>
            <w:tab/>
          </w:r>
          <w:r>
            <w:rPr>
              <w:b w:val="0"/>
              <w:bCs w:val="0"/>
              <w:sz w:val="24"/>
              <w:szCs w:val="24"/>
            </w:rPr>
            <w:fldChar w:fldCharType="begin"/>
          </w:r>
          <w:r>
            <w:rPr>
              <w:b w:val="0"/>
              <w:bCs w:val="0"/>
              <w:sz w:val="24"/>
              <w:szCs w:val="24"/>
            </w:rPr>
            <w:instrText xml:space="preserve"> PAGEREF _Toc10587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_Toc13325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（一）体现双创教育成果</w:t>
          </w:r>
          <w:r>
            <w:rPr>
              <w:b w:val="0"/>
              <w:bCs w:val="0"/>
              <w:sz w:val="24"/>
              <w:szCs w:val="24"/>
            </w:rPr>
            <w:tab/>
          </w:r>
          <w:r>
            <w:rPr>
              <w:b w:val="0"/>
              <w:bCs w:val="0"/>
              <w:sz w:val="24"/>
              <w:szCs w:val="24"/>
            </w:rPr>
            <w:fldChar w:fldCharType="begin"/>
          </w:r>
          <w:r>
            <w:rPr>
              <w:b w:val="0"/>
              <w:bCs w:val="0"/>
              <w:sz w:val="24"/>
              <w:szCs w:val="24"/>
            </w:rPr>
            <w:instrText xml:space="preserve"> PAGEREF _Toc13325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_Toc3068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（二）促进双创教育</w:t>
          </w:r>
          <w:r>
            <w:rPr>
              <w:b w:val="0"/>
              <w:bCs w:val="0"/>
              <w:sz w:val="24"/>
              <w:szCs w:val="24"/>
            </w:rPr>
            <w:tab/>
          </w:r>
          <w:r>
            <w:rPr>
              <w:b w:val="0"/>
              <w:bCs w:val="0"/>
              <w:sz w:val="24"/>
              <w:szCs w:val="24"/>
            </w:rPr>
            <w:fldChar w:fldCharType="begin"/>
          </w:r>
          <w:r>
            <w:rPr>
              <w:b w:val="0"/>
              <w:bCs w:val="0"/>
              <w:sz w:val="24"/>
              <w:szCs w:val="24"/>
            </w:rPr>
            <w:instrText xml:space="preserve"> PAGEREF _Toc3068 \h </w:instrText>
          </w:r>
          <w:r>
            <w:rPr>
              <w:b w:val="0"/>
              <w:bCs w:val="0"/>
              <w:sz w:val="24"/>
              <w:szCs w:val="24"/>
            </w:rPr>
            <w:fldChar w:fldCharType="separate"/>
          </w:r>
          <w:r>
            <w:rPr>
              <w:b w:val="0"/>
              <w:bCs w:val="0"/>
              <w:sz w:val="24"/>
              <w:szCs w:val="24"/>
            </w:rPr>
            <w:t>6</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_Toc24714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（三）新文科教育成果</w:t>
          </w:r>
          <w:r>
            <w:rPr>
              <w:b w:val="0"/>
              <w:bCs w:val="0"/>
              <w:sz w:val="24"/>
              <w:szCs w:val="24"/>
            </w:rPr>
            <w:tab/>
          </w:r>
          <w:r>
            <w:rPr>
              <w:b w:val="0"/>
              <w:bCs w:val="0"/>
              <w:sz w:val="24"/>
              <w:szCs w:val="24"/>
            </w:rPr>
            <w:fldChar w:fldCharType="begin"/>
          </w:r>
          <w:r>
            <w:rPr>
              <w:b w:val="0"/>
              <w:bCs w:val="0"/>
              <w:sz w:val="24"/>
              <w:szCs w:val="24"/>
            </w:rPr>
            <w:instrText xml:space="preserve"> PAGEREF _Toc24714 \h </w:instrText>
          </w:r>
          <w:r>
            <w:rPr>
              <w:b w:val="0"/>
              <w:bCs w:val="0"/>
              <w:sz w:val="24"/>
              <w:szCs w:val="24"/>
            </w:rPr>
            <w:fldChar w:fldCharType="separate"/>
          </w:r>
          <w:r>
            <w:rPr>
              <w:b w:val="0"/>
              <w:bCs w:val="0"/>
              <w:sz w:val="24"/>
              <w:szCs w:val="24"/>
            </w:rPr>
            <w:t>6</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_Toc16506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九、社会价值</w:t>
          </w:r>
          <w:r>
            <w:rPr>
              <w:b w:val="0"/>
              <w:bCs w:val="0"/>
              <w:sz w:val="24"/>
              <w:szCs w:val="24"/>
            </w:rPr>
            <w:tab/>
          </w:r>
          <w:r>
            <w:rPr>
              <w:b w:val="0"/>
              <w:bCs w:val="0"/>
              <w:sz w:val="24"/>
              <w:szCs w:val="24"/>
            </w:rPr>
            <w:fldChar w:fldCharType="begin"/>
          </w:r>
          <w:r>
            <w:rPr>
              <w:b w:val="0"/>
              <w:bCs w:val="0"/>
              <w:sz w:val="24"/>
              <w:szCs w:val="24"/>
            </w:rPr>
            <w:instrText xml:space="preserve"> PAGEREF _Toc16506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_Toc28622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（一）带动就业</w:t>
          </w:r>
          <w:r>
            <w:rPr>
              <w:b w:val="0"/>
              <w:bCs w:val="0"/>
              <w:sz w:val="24"/>
              <w:szCs w:val="24"/>
            </w:rPr>
            <w:tab/>
          </w:r>
          <w:r>
            <w:rPr>
              <w:b w:val="0"/>
              <w:bCs w:val="0"/>
              <w:sz w:val="24"/>
              <w:szCs w:val="24"/>
            </w:rPr>
            <w:fldChar w:fldCharType="begin"/>
          </w:r>
          <w:r>
            <w:rPr>
              <w:b w:val="0"/>
              <w:bCs w:val="0"/>
              <w:sz w:val="24"/>
              <w:szCs w:val="24"/>
            </w:rPr>
            <w:instrText xml:space="preserve"> PAGEREF _Toc28622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_Toc31893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（二）社会效益</w:t>
          </w:r>
          <w:r>
            <w:rPr>
              <w:b w:val="0"/>
              <w:bCs w:val="0"/>
              <w:sz w:val="24"/>
              <w:szCs w:val="24"/>
            </w:rPr>
            <w:tab/>
          </w:r>
          <w:r>
            <w:rPr>
              <w:b w:val="0"/>
              <w:bCs w:val="0"/>
              <w:sz w:val="24"/>
              <w:szCs w:val="24"/>
            </w:rPr>
            <w:fldChar w:fldCharType="begin"/>
          </w:r>
          <w:r>
            <w:rPr>
              <w:b w:val="0"/>
              <w:bCs w:val="0"/>
              <w:sz w:val="24"/>
              <w:szCs w:val="24"/>
            </w:rPr>
            <w:instrText xml:space="preserve"> PAGEREF _Toc31893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_Toc11624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十、附录</w:t>
          </w:r>
          <w:r>
            <w:rPr>
              <w:b w:val="0"/>
              <w:bCs w:val="0"/>
              <w:sz w:val="24"/>
              <w:szCs w:val="24"/>
            </w:rPr>
            <w:tab/>
          </w:r>
          <w:r>
            <w:rPr>
              <w:b w:val="0"/>
              <w:bCs w:val="0"/>
              <w:sz w:val="24"/>
              <w:szCs w:val="24"/>
            </w:rPr>
            <w:fldChar w:fldCharType="begin"/>
          </w:r>
          <w:r>
            <w:rPr>
              <w:b w:val="0"/>
              <w:bCs w:val="0"/>
              <w:sz w:val="24"/>
              <w:szCs w:val="24"/>
            </w:rPr>
            <w:instrText xml:space="preserve"> PAGEREF _Toc11624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_Toc24362 </w:instrText>
          </w:r>
          <w:r>
            <w:rPr>
              <w:rFonts w:hint="eastAsia" w:ascii="黑体" w:hAnsi="黑体" w:eastAsia="黑体" w:cs="黑体"/>
              <w:b w:val="0"/>
              <w:bCs w:val="0"/>
              <w:sz w:val="24"/>
              <w:szCs w:val="24"/>
            </w:rPr>
            <w:fldChar w:fldCharType="separate"/>
          </w:r>
          <w:r>
            <w:rPr>
              <w:rFonts w:hint="eastAsia"/>
              <w:b w:val="0"/>
              <w:bCs w:val="0"/>
              <w:sz w:val="24"/>
              <w:szCs w:val="24"/>
            </w:rPr>
            <w:t>附录一 市场调研报告</w:t>
          </w:r>
          <w:r>
            <w:rPr>
              <w:b w:val="0"/>
              <w:bCs w:val="0"/>
              <w:sz w:val="24"/>
              <w:szCs w:val="24"/>
            </w:rPr>
            <w:tab/>
          </w:r>
          <w:r>
            <w:rPr>
              <w:b w:val="0"/>
              <w:bCs w:val="0"/>
              <w:sz w:val="24"/>
              <w:szCs w:val="24"/>
            </w:rPr>
            <w:fldChar w:fldCharType="begin"/>
          </w:r>
          <w:r>
            <w:rPr>
              <w:b w:val="0"/>
              <w:bCs w:val="0"/>
              <w:sz w:val="24"/>
              <w:szCs w:val="24"/>
            </w:rPr>
            <w:instrText xml:space="preserve"> PAGEREF _Toc24362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_Toc24610 </w:instrText>
          </w:r>
          <w:r>
            <w:rPr>
              <w:rFonts w:hint="eastAsia" w:ascii="黑体" w:hAnsi="黑体" w:eastAsia="黑体" w:cs="黑体"/>
              <w:b w:val="0"/>
              <w:bCs w:val="0"/>
              <w:sz w:val="24"/>
              <w:szCs w:val="24"/>
            </w:rPr>
            <w:fldChar w:fldCharType="separate"/>
          </w:r>
          <w:r>
            <w:rPr>
              <w:rFonts w:hint="eastAsia"/>
              <w:b w:val="0"/>
              <w:bCs w:val="0"/>
              <w:sz w:val="24"/>
              <w:szCs w:val="24"/>
            </w:rPr>
            <w:t>附录二 佐证材料</w:t>
          </w:r>
          <w:r>
            <w:rPr>
              <w:b w:val="0"/>
              <w:bCs w:val="0"/>
              <w:sz w:val="24"/>
              <w:szCs w:val="24"/>
            </w:rPr>
            <w:tab/>
          </w:r>
          <w:r>
            <w:rPr>
              <w:b w:val="0"/>
              <w:bCs w:val="0"/>
              <w:sz w:val="24"/>
              <w:szCs w:val="24"/>
            </w:rPr>
            <w:fldChar w:fldCharType="begin"/>
          </w:r>
          <w:r>
            <w:rPr>
              <w:b w:val="0"/>
              <w:bCs w:val="0"/>
              <w:sz w:val="24"/>
              <w:szCs w:val="24"/>
            </w:rPr>
            <w:instrText xml:space="preserve"> PAGEREF _Toc24610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9"/>
            <w:rPr>
              <w:rFonts w:hint="eastAsia" w:ascii="黑体" w:hAnsi="黑体" w:eastAsia="黑体" w:cs="黑体"/>
              <w:b w:val="0"/>
              <w:bCs w:val="0"/>
              <w:sz w:val="32"/>
              <w:szCs w:val="32"/>
            </w:rPr>
            <w:sectPr>
              <w:footerReference r:id="rId3" w:type="default"/>
              <w:pgSz w:w="11906" w:h="16838"/>
              <w:pgMar w:top="1440" w:right="1286" w:bottom="1440" w:left="1800" w:header="851" w:footer="992" w:gutter="0"/>
              <w:cols w:space="720" w:num="1"/>
              <w:docGrid w:type="lines" w:linePitch="312" w:charSpace="0"/>
            </w:sectPr>
          </w:pPr>
          <w:r>
            <w:rPr>
              <w:rFonts w:hint="eastAsia" w:ascii="黑体" w:hAnsi="黑体" w:eastAsia="黑体" w:cs="黑体"/>
              <w:b w:val="0"/>
              <w:bCs w:val="0"/>
              <w:sz w:val="24"/>
              <w:szCs w:val="24"/>
            </w:rPr>
            <w:fldChar w:fldCharType="end"/>
          </w:r>
        </w:p>
      </w:sdtContent>
    </w:sdt>
    <w:bookmarkEnd w:id="59"/>
    <w:bookmarkEnd w:id="120"/>
    <w:bookmarkEnd w:id="121"/>
    <w:bookmarkEnd w:id="134"/>
    <w:bookmarkEnd w:id="135"/>
    <w:bookmarkEnd w:id="136"/>
    <w:p>
      <w:pPr>
        <w:sectPr>
          <w:footerReference r:id="rId4" w:type="default"/>
          <w:pgSz w:w="11906" w:h="16838"/>
          <w:pgMar w:top="1440" w:right="1286" w:bottom="1440" w:left="1800" w:header="851" w:footer="992" w:gutter="0"/>
          <w:pgNumType w:fmt="decimal" w:start="1"/>
          <w:cols w:space="720" w:num="1"/>
          <w:docGrid w:type="lines" w:linePitch="312" w:charSpace="0"/>
        </w:sectPr>
      </w:pPr>
    </w:p>
    <w:p>
      <w:pPr>
        <w:spacing w:line="360" w:lineRule="auto" w:after="240" w:before="0"/>
        <w:jc w:val="center"/>
      </w:pPr>
      <w:r>
        <w:rPr>
          <w:rFonts w:ascii="Times New Roman" w:hAnsi="Times New Roman" w:eastAsia="黑体"/>
          <w:b/>
          <w:sz w:val="32"/>
        </w:rPr>
        <w:t>一、项目概要</w:t>
      </w:r>
    </w:p>
    <w:p>
      <w:pPr>
        <w:spacing w:line="360" w:lineRule="auto" w:after="120" w:before="0"/>
        <w:ind w:firstLine="420"/>
      </w:pPr>
      <w:r>
        <w:rPr>
          <w:rFonts w:ascii="Times New Roman" w:hAnsi="Times New Roman" w:eastAsia="宋体"/>
          <w:b w:val="0"/>
          <w:sz w:val="21"/>
        </w:rPr>
        <w:t>智阅教育是一款面向中学日常教学场景的 AI 作业批改与学情反馈平台，围绕“教师创建作业、学生自主提交、AI 批改分析、教师复核统计”的课堂闭环，提供作文批改、练习册逐题批改、班级统计、学生端查看反馈和后台运维检测等能力。项目当前已形成 Android 基座移动端、Spring Boot 后端、本机及服务器 MySQL 数据库、Web 管理后台的完整演示系统，具备从课程原型走向校园试点的基础。</w:t>
      </w:r>
    </w:p>
    <w:p>
      <w:pPr>
        <w:spacing w:line="360" w:lineRule="auto" w:after="120" w:before="0"/>
        <w:ind w:firstLine="420"/>
      </w:pPr>
      <w:r>
        <w:rPr>
          <w:rFonts w:ascii="Times New Roman" w:hAnsi="Times New Roman" w:eastAsia="宋体"/>
          <w:b w:val="0"/>
          <w:sz w:val="21"/>
        </w:rPr>
        <w:t>项目要解决的核心问题，是中学教师在大量纸质作业与练习册场景下长期承担重复性批改、成绩整理和个体反馈工作，时间成本高、反馈滞后、学情数据难沉淀。传统拍照批改工具多以教师端上传为主，仍然把“采集作业”的负担留给教师；智阅教育新增学生端后，学生可用独立账号查看班级作业并自主上传图片，老师端同步看到未提交、批改中、已批改和失败状态，必要时也可为未提交学生代上传，从流程上减少教师拍照收集压力。</w:t>
      </w:r>
    </w:p>
    <w:p>
      <w:pPr>
        <w:spacing w:line="360" w:lineRule="auto" w:after="120" w:before="0"/>
        <w:ind w:firstLine="420"/>
      </w:pPr>
      <w:r>
        <w:rPr>
          <w:rFonts w:ascii="Times New Roman" w:hAnsi="Times New Roman" w:eastAsia="宋体"/>
          <w:b w:val="0"/>
          <w:sz w:val="21"/>
        </w:rPr>
        <w:t>产品第一阶段以英语作文、语文写作、数学/综合练习册为主要场景：作文作业输出分数、维度反馈与教师最终分；练习册作业由教师先拍摄答案页生成结构化答案，再由学生上传多页作业，系统按题号范围给出逐题得分、知识点、反馈与总分。商业模式上，项目采用“免费额度体验 + 个人教师月度订阅 + 按量加购 + 学校/教研组版本”的递进路径，先从个人教师高频刚需切入，再扩展到学校级数据分析和教研管理。</w:t>
      </w:r>
    </w:p>
    <w:p>
      <w:pPr>
        <w:spacing w:line="288" w:lineRule="auto" w:after="80" w:before="0"/>
        <w:jc w:val="center"/>
      </w:pPr>
      <w:r>
        <w:rPr>
          <w:rFonts w:ascii="Times New Roman" w:hAnsi="Times New Roman" w:eastAsia="黑体"/>
          <w:b/>
          <w:sz w:val="21"/>
        </w:rPr>
        <w:t>表 1-1 项目核心信息概览</w:t>
      </w:r>
    </w:p>
    <w:tbl>
      <w:tblPr>
        <w:tblStyle w:val="22"/>
        <w:tblW w:type="auto" w:w="0"/>
        <w:jc w:val="center"/>
        <w:tblLook w:firstColumn="1" w:firstRow="1" w:lastColumn="0" w:lastRow="0" w:noHBand="0" w:noVBand="1" w:val="04A0"/>
      </w:tblPr>
      <w:tblGrid>
        <w:gridCol w:w="4536"/>
        <w:gridCol w:w="4536"/>
      </w:tblGrid>
      <w:tr>
        <w:tc>
          <w:tcPr>
            <w:tcW w:type="dxa" w:w="4536"/>
            <w:vAlign w:val="center"/>
          </w:tcPr>
          <w:p>
            <w:pPr>
              <w:jc w:val="center"/>
            </w:pPr>
            <w:r>
              <w:rPr>
                <w:rFonts w:ascii="Times New Roman" w:hAnsi="Times New Roman" w:eastAsia="黑体"/>
                <w:b/>
                <w:sz w:val="21"/>
              </w:rPr>
              <w:t>项目要素</w:t>
            </w:r>
          </w:p>
        </w:tc>
        <w:tc>
          <w:tcPr>
            <w:tcW w:type="dxa" w:w="4536"/>
            <w:vAlign w:val="center"/>
          </w:tcPr>
          <w:p>
            <w:pPr>
              <w:jc w:val="center"/>
            </w:pPr>
            <w:r>
              <w:rPr>
                <w:rFonts w:ascii="Times New Roman" w:hAnsi="Times New Roman" w:eastAsia="黑体"/>
                <w:b/>
                <w:sz w:val="21"/>
              </w:rPr>
              <w:t>内容</w:t>
            </w:r>
          </w:p>
        </w:tc>
      </w:tr>
      <w:tr>
        <w:tc>
          <w:tcPr>
            <w:tcW w:type="dxa" w:w="4536"/>
            <w:vAlign w:val="center"/>
          </w:tcPr>
          <w:p>
            <w:r>
              <w:rPr>
                <w:rFonts w:ascii="Times New Roman" w:hAnsi="Times New Roman" w:eastAsia="宋体"/>
                <w:b w:val="0"/>
                <w:sz w:val="21"/>
              </w:rPr>
              <w:t>项目名称</w:t>
            </w:r>
          </w:p>
        </w:tc>
        <w:tc>
          <w:tcPr>
            <w:tcW w:type="dxa" w:w="4536"/>
            <w:vAlign w:val="center"/>
          </w:tcPr>
          <w:p>
            <w:r>
              <w:rPr>
                <w:rFonts w:ascii="Times New Roman" w:hAnsi="Times New Roman" w:eastAsia="宋体"/>
                <w:b w:val="0"/>
                <w:sz w:val="21"/>
              </w:rPr>
              <w:t>智阅教育：面向中学教师的 AI 作业批改与学情反馈平台</w:t>
            </w:r>
          </w:p>
        </w:tc>
      </w:tr>
      <w:tr>
        <w:tc>
          <w:tcPr>
            <w:tcW w:type="dxa" w:w="4536"/>
            <w:vAlign w:val="center"/>
          </w:tcPr>
          <w:p>
            <w:r>
              <w:rPr>
                <w:rFonts w:ascii="Times New Roman" w:hAnsi="Times New Roman" w:eastAsia="宋体"/>
                <w:b w:val="0"/>
                <w:sz w:val="21"/>
              </w:rPr>
              <w:t>目标用户</w:t>
            </w:r>
          </w:p>
        </w:tc>
        <w:tc>
          <w:tcPr>
            <w:tcW w:type="dxa" w:w="4536"/>
            <w:vAlign w:val="center"/>
          </w:tcPr>
          <w:p>
            <w:r>
              <w:rPr>
                <w:rFonts w:ascii="Times New Roman" w:hAnsi="Times New Roman" w:eastAsia="宋体"/>
                <w:b w:val="0"/>
                <w:sz w:val="21"/>
              </w:rPr>
              <w:t>初高中语文、数学、英语等学科教师，兼顾学生端自主提交与结果查看</w:t>
            </w:r>
          </w:p>
        </w:tc>
      </w:tr>
      <w:tr>
        <w:tc>
          <w:tcPr>
            <w:tcW w:type="dxa" w:w="4536"/>
            <w:vAlign w:val="center"/>
          </w:tcPr>
          <w:p>
            <w:r>
              <w:rPr>
                <w:rFonts w:ascii="Times New Roman" w:hAnsi="Times New Roman" w:eastAsia="宋体"/>
                <w:b w:val="0"/>
                <w:sz w:val="21"/>
              </w:rPr>
              <w:t>核心场景</w:t>
            </w:r>
          </w:p>
        </w:tc>
        <w:tc>
          <w:tcPr>
            <w:tcW w:type="dxa" w:w="4536"/>
            <w:vAlign w:val="center"/>
          </w:tcPr>
          <w:p>
            <w:r>
              <w:rPr>
                <w:rFonts w:ascii="Times New Roman" w:hAnsi="Times New Roman" w:eastAsia="宋体"/>
                <w:b w:val="0"/>
                <w:sz w:val="21"/>
              </w:rPr>
              <w:t>作文批改、练习册逐题批改、班级作业提交管理、成绩统计与知识点薄弱项分析</w:t>
            </w:r>
          </w:p>
        </w:tc>
      </w:tr>
      <w:tr>
        <w:tc>
          <w:tcPr>
            <w:tcW w:type="dxa" w:w="4536"/>
            <w:vAlign w:val="center"/>
          </w:tcPr>
          <w:p>
            <w:r>
              <w:rPr>
                <w:rFonts w:ascii="Times New Roman" w:hAnsi="Times New Roman" w:eastAsia="宋体"/>
                <w:b w:val="0"/>
                <w:sz w:val="21"/>
              </w:rPr>
              <w:t>关键价值</w:t>
            </w:r>
          </w:p>
        </w:tc>
        <w:tc>
          <w:tcPr>
            <w:tcW w:type="dxa" w:w="4536"/>
            <w:vAlign w:val="center"/>
          </w:tcPr>
          <w:p>
            <w:r>
              <w:rPr>
                <w:rFonts w:ascii="Times New Roman" w:hAnsi="Times New Roman" w:eastAsia="宋体"/>
                <w:b w:val="0"/>
                <w:sz w:val="21"/>
              </w:rPr>
              <w:t>减少教师拍照与批改时间，提升反馈速度，沉淀班级学情数据</w:t>
            </w:r>
          </w:p>
        </w:tc>
      </w:tr>
      <w:tr>
        <w:tc>
          <w:tcPr>
            <w:tcW w:type="dxa" w:w="4536"/>
            <w:vAlign w:val="center"/>
          </w:tcPr>
          <w:p>
            <w:r>
              <w:rPr>
                <w:rFonts w:ascii="Times New Roman" w:hAnsi="Times New Roman" w:eastAsia="宋体"/>
                <w:b w:val="0"/>
                <w:sz w:val="21"/>
              </w:rPr>
              <w:t>当前形态</w:t>
            </w:r>
          </w:p>
        </w:tc>
        <w:tc>
          <w:tcPr>
            <w:tcW w:type="dxa" w:w="4536"/>
            <w:vAlign w:val="center"/>
          </w:tcPr>
          <w:p>
            <w:r>
              <w:rPr>
                <w:rFonts w:ascii="Times New Roman" w:hAnsi="Times New Roman" w:eastAsia="宋体"/>
                <w:b w:val="0"/>
                <w:sz w:val="21"/>
              </w:rPr>
              <w:t>Android 基座移动端 + Spring Boot 后端 + MySQL + Web 管理后台</w:t>
            </w:r>
          </w:p>
        </w:tc>
      </w:tr>
    </w:tbl>
    <w:p/>
    <w:p>
      <w:pPr>
        <w:spacing w:line="360" w:lineRule="auto" w:after="240" w:before="0"/>
        <w:jc w:val="center"/>
      </w:pPr>
      <w:r>
        <w:rPr>
          <w:rFonts w:ascii="Times New Roman" w:hAnsi="Times New Roman" w:eastAsia="黑体"/>
          <w:b/>
          <w:sz w:val="32"/>
        </w:rPr>
        <w:t>二、市场分析</w:t>
      </w:r>
    </w:p>
    <w:p>
      <w:pPr>
        <w:spacing w:line="360" w:lineRule="auto" w:after="160" w:before="0"/>
        <w:jc w:val="left"/>
      </w:pPr>
      <w:r>
        <w:rPr>
          <w:rFonts w:ascii="Times New Roman" w:hAnsi="Times New Roman" w:eastAsia="黑体"/>
          <w:b/>
          <w:sz w:val="28"/>
        </w:rPr>
        <w:t>（一）项目背景</w:t>
      </w:r>
    </w:p>
    <w:p>
      <w:pPr>
        <w:spacing w:line="360" w:lineRule="auto" w:after="120" w:before="0"/>
        <w:ind w:firstLine="420"/>
      </w:pPr>
      <w:r>
        <w:rPr>
          <w:rFonts w:ascii="Times New Roman" w:hAnsi="Times New Roman" w:eastAsia="宋体"/>
          <w:b w:val="0"/>
          <w:sz w:val="21"/>
        </w:rPr>
        <w:t>教育数字化已成为我国教育改革的重要方向。教育部自 2022 年启动国家教育数字化战略行动，国家智慧教育平台围绕学生学习、教师教学、学校治理和教育创新持续建设，说明数字技术正在从资源供给走向课堂教学的真实应用场景。与此同时，“双减”政策强调减轻学生过重作业负担，也要求学校提高作业设计、批改反馈与课后服务质量。作业不是简单减少数量，而是要提升质量、反馈效率与诊断价值。</w:t>
      </w:r>
    </w:p>
    <w:p>
      <w:pPr>
        <w:spacing w:line="360" w:lineRule="auto" w:after="120" w:before="0"/>
        <w:ind w:firstLine="420"/>
      </w:pPr>
      <w:r>
        <w:rPr>
          <w:rFonts w:ascii="Times New Roman" w:hAnsi="Times New Roman" w:eastAsia="宋体"/>
          <w:b w:val="0"/>
          <w:sz w:val="21"/>
        </w:rPr>
        <w:t>从用户规模看，教育部《2023 年全国教育事业发展统计公报》显示，全国各级各类学历教育在校生约 2.91 亿人，专任教师约 1891.78 万人，其中义务教育阶段和普通高中阶段教师构成了中学作业批改工具的基础用户池。对单个教师而言，若每班 45 至 55 名学生、同时带 2 至 3 个班，作文、练习册和单元测试的批改量很容易形成每周数小时的重复劳动。</w:t>
      </w:r>
    </w:p>
    <w:p>
      <w:pPr>
        <w:spacing w:line="360" w:lineRule="auto" w:after="160" w:before="0"/>
        <w:jc w:val="left"/>
      </w:pPr>
      <w:r>
        <w:rPr>
          <w:rFonts w:ascii="Times New Roman" w:hAnsi="Times New Roman" w:eastAsia="黑体"/>
          <w:b/>
          <w:sz w:val="28"/>
        </w:rPr>
        <w:t>（二）痛点分析</w:t>
      </w:r>
    </w:p>
    <w:p>
      <w:pPr>
        <w:spacing w:line="288" w:lineRule="auto" w:after="80" w:before="0"/>
        <w:jc w:val="center"/>
      </w:pPr>
      <w:r>
        <w:rPr>
          <w:rFonts w:ascii="Times New Roman" w:hAnsi="Times New Roman" w:eastAsia="黑体"/>
          <w:b/>
          <w:sz w:val="21"/>
        </w:rPr>
        <w:t>表 2-1 中学日常作业批改痛点</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痛点</w:t>
            </w:r>
          </w:p>
        </w:tc>
        <w:tc>
          <w:tcPr>
            <w:tcW w:type="dxa" w:w="3024"/>
            <w:vAlign w:val="center"/>
          </w:tcPr>
          <w:p>
            <w:pPr>
              <w:jc w:val="center"/>
            </w:pPr>
            <w:r>
              <w:rPr>
                <w:rFonts w:ascii="Times New Roman" w:hAnsi="Times New Roman" w:eastAsia="黑体"/>
                <w:b/>
                <w:sz w:val="21"/>
              </w:rPr>
              <w:t>具体表现</w:t>
            </w:r>
          </w:p>
        </w:tc>
        <w:tc>
          <w:tcPr>
            <w:tcW w:type="dxa" w:w="3024"/>
            <w:vAlign w:val="center"/>
          </w:tcPr>
          <w:p>
            <w:pPr>
              <w:jc w:val="center"/>
            </w:pPr>
            <w:r>
              <w:rPr>
                <w:rFonts w:ascii="Times New Roman" w:hAnsi="Times New Roman" w:eastAsia="黑体"/>
                <w:b/>
                <w:sz w:val="21"/>
              </w:rPr>
              <w:t>对教学的影响</w:t>
            </w:r>
          </w:p>
        </w:tc>
      </w:tr>
      <w:tr>
        <w:tc>
          <w:tcPr>
            <w:tcW w:type="dxa" w:w="3024"/>
            <w:vAlign w:val="center"/>
          </w:tcPr>
          <w:p>
            <w:r>
              <w:rPr>
                <w:rFonts w:ascii="Times New Roman" w:hAnsi="Times New Roman" w:eastAsia="宋体"/>
                <w:b w:val="0"/>
                <w:sz w:val="21"/>
              </w:rPr>
              <w:t>批改耗时长</w:t>
            </w:r>
          </w:p>
        </w:tc>
        <w:tc>
          <w:tcPr>
            <w:tcW w:type="dxa" w:w="3024"/>
            <w:vAlign w:val="center"/>
          </w:tcPr>
          <w:p>
            <w:r>
              <w:rPr>
                <w:rFonts w:ascii="Times New Roman" w:hAnsi="Times New Roman" w:eastAsia="宋体"/>
                <w:b w:val="0"/>
                <w:sz w:val="21"/>
              </w:rPr>
              <w:t>作文、解答题、练习册需要逐份阅读与圈改，教师课后时间被大量占用。</w:t>
            </w:r>
          </w:p>
        </w:tc>
        <w:tc>
          <w:tcPr>
            <w:tcW w:type="dxa" w:w="3024"/>
            <w:vAlign w:val="center"/>
          </w:tcPr>
          <w:p>
            <w:r>
              <w:rPr>
                <w:rFonts w:ascii="Times New Roman" w:hAnsi="Times New Roman" w:eastAsia="宋体"/>
                <w:b w:val="0"/>
                <w:sz w:val="21"/>
              </w:rPr>
              <w:t>教师难以把精力投入备课、个别辅导和教学反思。</w:t>
            </w:r>
          </w:p>
        </w:tc>
      </w:tr>
      <w:tr>
        <w:tc>
          <w:tcPr>
            <w:tcW w:type="dxa" w:w="3024"/>
            <w:vAlign w:val="center"/>
          </w:tcPr>
          <w:p>
            <w:r>
              <w:rPr>
                <w:rFonts w:ascii="Times New Roman" w:hAnsi="Times New Roman" w:eastAsia="宋体"/>
                <w:b w:val="0"/>
                <w:sz w:val="21"/>
              </w:rPr>
              <w:t>反馈周期慢</w:t>
            </w:r>
          </w:p>
        </w:tc>
        <w:tc>
          <w:tcPr>
            <w:tcW w:type="dxa" w:w="3024"/>
            <w:vAlign w:val="center"/>
          </w:tcPr>
          <w:p>
            <w:r>
              <w:rPr>
                <w:rFonts w:ascii="Times New Roman" w:hAnsi="Times New Roman" w:eastAsia="宋体"/>
                <w:b w:val="0"/>
                <w:sz w:val="21"/>
              </w:rPr>
              <w:t>纸质作业通常隔天甚至数天后返还，学生错因记忆已经减弱。</w:t>
            </w:r>
          </w:p>
        </w:tc>
        <w:tc>
          <w:tcPr>
            <w:tcW w:type="dxa" w:w="3024"/>
            <w:vAlign w:val="center"/>
          </w:tcPr>
          <w:p>
            <w:r>
              <w:rPr>
                <w:rFonts w:ascii="Times New Roman" w:hAnsi="Times New Roman" w:eastAsia="宋体"/>
                <w:b w:val="0"/>
                <w:sz w:val="21"/>
              </w:rPr>
              <w:t>错题纠正不及时，学习闭环被拉长。</w:t>
            </w:r>
          </w:p>
        </w:tc>
      </w:tr>
      <w:tr>
        <w:tc>
          <w:tcPr>
            <w:tcW w:type="dxa" w:w="3024"/>
            <w:vAlign w:val="center"/>
          </w:tcPr>
          <w:p>
            <w:r>
              <w:rPr>
                <w:rFonts w:ascii="Times New Roman" w:hAnsi="Times New Roman" w:eastAsia="宋体"/>
                <w:b w:val="0"/>
                <w:sz w:val="21"/>
              </w:rPr>
              <w:t>数据难沉淀</w:t>
            </w:r>
          </w:p>
        </w:tc>
        <w:tc>
          <w:tcPr>
            <w:tcW w:type="dxa" w:w="3024"/>
            <w:vAlign w:val="center"/>
          </w:tcPr>
          <w:p>
            <w:r>
              <w:rPr>
                <w:rFonts w:ascii="Times New Roman" w:hAnsi="Times New Roman" w:eastAsia="宋体"/>
                <w:b w:val="0"/>
                <w:sz w:val="21"/>
              </w:rPr>
              <w:t>练习册批改结果多停留在纸面勾叉，题目得分和知识点弱项无法自动统计。</w:t>
            </w:r>
          </w:p>
        </w:tc>
        <w:tc>
          <w:tcPr>
            <w:tcW w:type="dxa" w:w="3024"/>
            <w:vAlign w:val="center"/>
          </w:tcPr>
          <w:p>
            <w:r>
              <w:rPr>
                <w:rFonts w:ascii="Times New Roman" w:hAnsi="Times New Roman" w:eastAsia="宋体"/>
                <w:b w:val="0"/>
                <w:sz w:val="21"/>
              </w:rPr>
              <w:t>班级共性问题难以被量化发现，精准讲评成本高。</w:t>
            </w:r>
          </w:p>
        </w:tc>
      </w:tr>
      <w:tr>
        <w:tc>
          <w:tcPr>
            <w:tcW w:type="dxa" w:w="3024"/>
            <w:vAlign w:val="center"/>
          </w:tcPr>
          <w:p>
            <w:r>
              <w:rPr>
                <w:rFonts w:ascii="Times New Roman" w:hAnsi="Times New Roman" w:eastAsia="宋体"/>
                <w:b w:val="0"/>
                <w:sz w:val="21"/>
              </w:rPr>
              <w:t>采集负担仍在教师端</w:t>
            </w:r>
          </w:p>
        </w:tc>
        <w:tc>
          <w:tcPr>
            <w:tcW w:type="dxa" w:w="3024"/>
            <w:vAlign w:val="center"/>
          </w:tcPr>
          <w:p>
            <w:r>
              <w:rPr>
                <w:rFonts w:ascii="Times New Roman" w:hAnsi="Times New Roman" w:eastAsia="宋体"/>
                <w:b w:val="0"/>
                <w:sz w:val="21"/>
              </w:rPr>
              <w:t>若所有作业都由教师拍照上传，AI 批改工具只是替代部分评分，未减少收作业与拍照工作。</w:t>
            </w:r>
          </w:p>
        </w:tc>
        <w:tc>
          <w:tcPr>
            <w:tcW w:type="dxa" w:w="3024"/>
            <w:vAlign w:val="center"/>
          </w:tcPr>
          <w:p>
            <w:r>
              <w:rPr>
                <w:rFonts w:ascii="Times New Roman" w:hAnsi="Times New Roman" w:eastAsia="宋体"/>
                <w:b w:val="0"/>
                <w:sz w:val="21"/>
              </w:rPr>
              <w:t>教师使用门槛上升，持续使用意愿下降。</w:t>
            </w:r>
          </w:p>
        </w:tc>
      </w:tr>
    </w:tbl>
    <w:p/>
    <w:p>
      <w:pPr>
        <w:spacing w:line="288" w:lineRule="auto" w:after="160" w:before="0"/>
        <w:jc w:val="left"/>
      </w:pPr>
      <w:r>
        <w:rPr>
          <w:rFonts w:ascii="Times New Roman" w:hAnsi="Times New Roman" w:eastAsia="宋体"/>
          <w:b w:val="0"/>
          <w:sz w:val="18"/>
        </w:rPr>
        <w:t>资料来源：项目团队基于中学作业流程调研和原型系统试用场景整理。</w:t>
      </w:r>
    </w:p>
    <w:p>
      <w:pPr>
        <w:spacing w:line="360" w:lineRule="auto" w:after="160" w:before="0"/>
        <w:jc w:val="left"/>
      </w:pPr>
      <w:r>
        <w:rPr>
          <w:rFonts w:ascii="Times New Roman" w:hAnsi="Times New Roman" w:eastAsia="黑体"/>
          <w:b/>
          <w:sz w:val="28"/>
        </w:rPr>
        <w:t>（三）目标市场与用户画像</w:t>
      </w:r>
    </w:p>
    <w:p>
      <w:pPr>
        <w:spacing w:line="360" w:lineRule="auto" w:after="120" w:before="0"/>
        <w:ind w:firstLine="420"/>
      </w:pPr>
      <w:r>
        <w:rPr>
          <w:rFonts w:ascii="Times New Roman" w:hAnsi="Times New Roman" w:eastAsia="宋体"/>
          <w:b w:val="0"/>
          <w:sz w:val="21"/>
        </w:rPr>
        <w:t>智阅教育的首批目标用户不是直接面向全校采购，而是面向个人教师和小型教研组。个人教师的决策链条短，只要产品能明显节省时间、反馈准确且价格低于教师时间价值，就有机会形成快速试用和口碑传播。随后再以班级数据统计、学校统一账号、教研组共用题库等能力切入学校版本。</w:t>
      </w:r>
    </w:p>
    <w:p>
      <w:pPr>
        <w:spacing w:line="288" w:lineRule="auto" w:after="80" w:before="0"/>
        <w:jc w:val="center"/>
      </w:pPr>
      <w:r>
        <w:rPr>
          <w:rFonts w:ascii="Times New Roman" w:hAnsi="Times New Roman" w:eastAsia="黑体"/>
          <w:b/>
          <w:sz w:val="21"/>
        </w:rPr>
        <w:t>表 2-2 目标用户分层</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用户层级</w:t>
            </w:r>
          </w:p>
        </w:tc>
        <w:tc>
          <w:tcPr>
            <w:tcW w:type="dxa" w:w="3024"/>
            <w:vAlign w:val="center"/>
          </w:tcPr>
          <w:p>
            <w:pPr>
              <w:jc w:val="center"/>
            </w:pPr>
            <w:r>
              <w:rPr>
                <w:rFonts w:ascii="Times New Roman" w:hAnsi="Times New Roman" w:eastAsia="黑体"/>
                <w:b/>
                <w:sz w:val="21"/>
              </w:rPr>
              <w:t>典型需求</w:t>
            </w:r>
          </w:p>
        </w:tc>
        <w:tc>
          <w:tcPr>
            <w:tcW w:type="dxa" w:w="3024"/>
            <w:vAlign w:val="center"/>
          </w:tcPr>
          <w:p>
            <w:pPr>
              <w:jc w:val="center"/>
            </w:pPr>
            <w:r>
              <w:rPr>
                <w:rFonts w:ascii="Times New Roman" w:hAnsi="Times New Roman" w:eastAsia="黑体"/>
                <w:b/>
                <w:sz w:val="21"/>
              </w:rPr>
              <w:t>付费/采购逻辑</w:t>
            </w:r>
          </w:p>
        </w:tc>
      </w:tr>
      <w:tr>
        <w:tc>
          <w:tcPr>
            <w:tcW w:type="dxa" w:w="3024"/>
            <w:vAlign w:val="center"/>
          </w:tcPr>
          <w:p>
            <w:r>
              <w:rPr>
                <w:rFonts w:ascii="Times New Roman" w:hAnsi="Times New Roman" w:eastAsia="宋体"/>
                <w:b w:val="0"/>
                <w:sz w:val="21"/>
              </w:rPr>
              <w:t>个人教师</w:t>
            </w:r>
          </w:p>
        </w:tc>
        <w:tc>
          <w:tcPr>
            <w:tcW w:type="dxa" w:w="3024"/>
            <w:vAlign w:val="center"/>
          </w:tcPr>
          <w:p>
            <w:r>
              <w:rPr>
                <w:rFonts w:ascii="Times New Roman" w:hAnsi="Times New Roman" w:eastAsia="宋体"/>
                <w:b w:val="0"/>
                <w:sz w:val="21"/>
              </w:rPr>
              <w:t>快速批改作文和练习册、查看班级提交状态、导出成绩。</w:t>
            </w:r>
          </w:p>
        </w:tc>
        <w:tc>
          <w:tcPr>
            <w:tcW w:type="dxa" w:w="3024"/>
            <w:vAlign w:val="center"/>
          </w:tcPr>
          <w:p>
            <w:r>
              <w:rPr>
                <w:rFonts w:ascii="Times New Roman" w:hAnsi="Times New Roman" w:eastAsia="宋体"/>
                <w:b w:val="0"/>
                <w:sz w:val="21"/>
              </w:rPr>
              <w:t>低价月付或按量购买，重视易用性和批改效果。</w:t>
            </w:r>
          </w:p>
        </w:tc>
      </w:tr>
      <w:tr>
        <w:tc>
          <w:tcPr>
            <w:tcW w:type="dxa" w:w="3024"/>
            <w:vAlign w:val="center"/>
          </w:tcPr>
          <w:p>
            <w:r>
              <w:rPr>
                <w:rFonts w:ascii="Times New Roman" w:hAnsi="Times New Roman" w:eastAsia="宋体"/>
                <w:b w:val="0"/>
                <w:sz w:val="21"/>
              </w:rPr>
              <w:t>教研组/备课组</w:t>
            </w:r>
          </w:p>
        </w:tc>
        <w:tc>
          <w:tcPr>
            <w:tcW w:type="dxa" w:w="3024"/>
            <w:vAlign w:val="center"/>
          </w:tcPr>
          <w:p>
            <w:r>
              <w:rPr>
                <w:rFonts w:ascii="Times New Roman" w:hAnsi="Times New Roman" w:eastAsia="宋体"/>
                <w:b w:val="0"/>
                <w:sz w:val="21"/>
              </w:rPr>
              <w:t>统一作业模板、共享答案页、汇总同年级薄弱知识点。</w:t>
            </w:r>
          </w:p>
        </w:tc>
        <w:tc>
          <w:tcPr>
            <w:tcW w:type="dxa" w:w="3024"/>
            <w:vAlign w:val="center"/>
          </w:tcPr>
          <w:p>
            <w:r>
              <w:rPr>
                <w:rFonts w:ascii="Times New Roman" w:hAnsi="Times New Roman" w:eastAsia="宋体"/>
                <w:b w:val="0"/>
                <w:sz w:val="21"/>
              </w:rPr>
              <w:t>多人共用套餐，关注协作效率和数据对比。</w:t>
            </w:r>
          </w:p>
        </w:tc>
      </w:tr>
      <w:tr>
        <w:tc>
          <w:tcPr>
            <w:tcW w:type="dxa" w:w="3024"/>
            <w:vAlign w:val="center"/>
          </w:tcPr>
          <w:p>
            <w:r>
              <w:rPr>
                <w:rFonts w:ascii="Times New Roman" w:hAnsi="Times New Roman" w:eastAsia="宋体"/>
                <w:b w:val="0"/>
                <w:sz w:val="21"/>
              </w:rPr>
              <w:t>学校/培训机构</w:t>
            </w:r>
          </w:p>
        </w:tc>
        <w:tc>
          <w:tcPr>
            <w:tcW w:type="dxa" w:w="3024"/>
            <w:vAlign w:val="center"/>
          </w:tcPr>
          <w:p>
            <w:r>
              <w:rPr>
                <w:rFonts w:ascii="Times New Roman" w:hAnsi="Times New Roman" w:eastAsia="宋体"/>
                <w:b w:val="0"/>
                <w:sz w:val="21"/>
              </w:rPr>
              <w:t>统一账号管理、数据看板、隐私合规、服务稳定性。</w:t>
            </w:r>
          </w:p>
        </w:tc>
        <w:tc>
          <w:tcPr>
            <w:tcW w:type="dxa" w:w="3024"/>
            <w:vAlign w:val="center"/>
          </w:tcPr>
          <w:p>
            <w:r>
              <w:rPr>
                <w:rFonts w:ascii="Times New Roman" w:hAnsi="Times New Roman" w:eastAsia="宋体"/>
                <w:b w:val="0"/>
                <w:sz w:val="21"/>
              </w:rPr>
              <w:t>按班级或学生数采购，关注安全、运维和售后。</w:t>
            </w:r>
          </w:p>
        </w:tc>
      </w:tr>
    </w:tbl>
    <w:p/>
    <w:p>
      <w:pPr>
        <w:spacing w:line="360" w:lineRule="auto" w:after="160" w:before="0"/>
        <w:jc w:val="left"/>
      </w:pPr>
      <w:r>
        <w:rPr>
          <w:rFonts w:ascii="Times New Roman" w:hAnsi="Times New Roman" w:eastAsia="黑体"/>
          <w:b/>
          <w:sz w:val="28"/>
        </w:rPr>
        <w:t>（四）市场机会</w:t>
      </w:r>
    </w:p>
    <w:p>
      <w:pPr>
        <w:spacing w:line="360" w:lineRule="auto" w:after="120" w:before="0"/>
        <w:ind w:firstLine="420"/>
      </w:pPr>
      <w:r>
        <w:rPr>
          <w:rFonts w:ascii="Times New Roman" w:hAnsi="Times New Roman" w:eastAsia="宋体"/>
          <w:b w:val="0"/>
          <w:sz w:val="21"/>
        </w:rPr>
        <w:t>现有作业平台大多侧重题库、在线作业或学校级集采，个人教师能够低门槛购买、马上用于纸质作业批改的工具仍有空间。智阅教育的机会在于避开重平台建设，先抓住“纸质作业仍大量存在、教师又希望得到数字化反馈”的过渡场景，以手机拍照和学生端自提交作为最低成本入口，把作业图片转化为可统计、可复盘、可导出的教学数据。</w:t>
      </w:r>
    </w:p>
    <w:p>
      <w:pPr>
        <w:spacing w:line="360" w:lineRule="auto" w:after="240" w:before="0"/>
        <w:jc w:val="center"/>
      </w:pPr>
      <w:r>
        <w:rPr>
          <w:rFonts w:ascii="Times New Roman" w:hAnsi="Times New Roman" w:eastAsia="黑体"/>
          <w:b/>
          <w:sz w:val="32"/>
        </w:rPr>
        <w:t>三、产品/服务</w:t>
      </w:r>
    </w:p>
    <w:p>
      <w:pPr>
        <w:spacing w:line="360" w:lineRule="auto" w:after="160" w:before="0"/>
        <w:jc w:val="left"/>
      </w:pPr>
      <w:r>
        <w:rPr>
          <w:rFonts w:ascii="Times New Roman" w:hAnsi="Times New Roman" w:eastAsia="黑体"/>
          <w:b/>
          <w:sz w:val="28"/>
        </w:rPr>
        <w:t>（一）产品架构</w:t>
      </w:r>
    </w:p>
    <w:p>
      <w:pPr>
        <w:spacing w:line="360" w:lineRule="auto" w:after="120" w:before="0"/>
        <w:ind w:firstLine="420"/>
      </w:pPr>
      <w:r>
        <w:rPr>
          <w:rFonts w:ascii="Times New Roman" w:hAnsi="Times New Roman" w:eastAsia="宋体"/>
          <w:b w:val="0"/>
          <w:sz w:val="21"/>
        </w:rPr>
        <w:t>智阅教育由教师端、学生端、后端批改服务和后台管理页组成。教师端负责创建班级、维护学生账号、发布作业、查看提交状态、代上传未交作业、确认最终分和查看统计；学生端负责接收班级作业、上传单页或多页图片、查看批改进度与结果；后端负责认证、作业管理、文件存储、OCR/视觉识别、AI 评分、异步状态更新和数据统计；后台管理页用于演示期间检查 AI/OCR 配置、上传目录、候选 IP 和服务状态。</w:t>
      </w:r>
    </w:p>
    <w:p>
      <w:pPr>
        <w:spacing w:line="288" w:lineRule="auto" w:after="80" w:before="0"/>
        <w:jc w:val="center"/>
      </w:pPr>
      <w:r>
        <w:rPr>
          <w:rFonts w:ascii="Times New Roman" w:hAnsi="Times New Roman" w:eastAsia="黑体"/>
          <w:b/>
          <w:sz w:val="21"/>
        </w:rPr>
        <w:t>表 3-1 产品功能模块</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模块</w:t>
            </w:r>
          </w:p>
        </w:tc>
        <w:tc>
          <w:tcPr>
            <w:tcW w:type="dxa" w:w="3024"/>
            <w:vAlign w:val="center"/>
          </w:tcPr>
          <w:p>
            <w:pPr>
              <w:jc w:val="center"/>
            </w:pPr>
            <w:r>
              <w:rPr>
                <w:rFonts w:ascii="Times New Roman" w:hAnsi="Times New Roman" w:eastAsia="黑体"/>
                <w:b/>
                <w:sz w:val="21"/>
              </w:rPr>
              <w:t>主要功能</w:t>
            </w:r>
          </w:p>
        </w:tc>
        <w:tc>
          <w:tcPr>
            <w:tcW w:type="dxa" w:w="3024"/>
            <w:vAlign w:val="center"/>
          </w:tcPr>
          <w:p>
            <w:pPr>
              <w:jc w:val="center"/>
            </w:pPr>
            <w:r>
              <w:rPr>
                <w:rFonts w:ascii="Times New Roman" w:hAnsi="Times New Roman" w:eastAsia="黑体"/>
                <w:b/>
                <w:sz w:val="21"/>
              </w:rPr>
              <w:t>商业价值</w:t>
            </w:r>
          </w:p>
        </w:tc>
      </w:tr>
      <w:tr>
        <w:tc>
          <w:tcPr>
            <w:tcW w:type="dxa" w:w="3024"/>
            <w:vAlign w:val="center"/>
          </w:tcPr>
          <w:p>
            <w:r>
              <w:rPr>
                <w:rFonts w:ascii="Times New Roman" w:hAnsi="Times New Roman" w:eastAsia="宋体"/>
                <w:b w:val="0"/>
                <w:sz w:val="21"/>
              </w:rPr>
              <w:t>教师端</w:t>
            </w:r>
          </w:p>
        </w:tc>
        <w:tc>
          <w:tcPr>
            <w:tcW w:type="dxa" w:w="3024"/>
            <w:vAlign w:val="center"/>
          </w:tcPr>
          <w:p>
            <w:r>
              <w:rPr>
                <w:rFonts w:ascii="Times New Roman" w:hAnsi="Times New Roman" w:eastAsia="宋体"/>
                <w:b w:val="0"/>
                <w:sz w:val="21"/>
              </w:rPr>
              <w:t>创建作业、学生/班级管理、批改状态看板、教师最终分、统计导出。</w:t>
            </w:r>
          </w:p>
        </w:tc>
        <w:tc>
          <w:tcPr>
            <w:tcW w:type="dxa" w:w="3024"/>
            <w:vAlign w:val="center"/>
          </w:tcPr>
          <w:p>
            <w:r>
              <w:rPr>
                <w:rFonts w:ascii="Times New Roman" w:hAnsi="Times New Roman" w:eastAsia="宋体"/>
                <w:b w:val="0"/>
                <w:sz w:val="21"/>
              </w:rPr>
              <w:t>覆盖教师高频工作流，是付费转化核心入口。</w:t>
            </w:r>
          </w:p>
        </w:tc>
      </w:tr>
      <w:tr>
        <w:tc>
          <w:tcPr>
            <w:tcW w:type="dxa" w:w="3024"/>
            <w:vAlign w:val="center"/>
          </w:tcPr>
          <w:p>
            <w:r>
              <w:rPr>
                <w:rFonts w:ascii="Times New Roman" w:hAnsi="Times New Roman" w:eastAsia="宋体"/>
                <w:b w:val="0"/>
                <w:sz w:val="21"/>
              </w:rPr>
              <w:t>学生端</w:t>
            </w:r>
          </w:p>
        </w:tc>
        <w:tc>
          <w:tcPr>
            <w:tcW w:type="dxa" w:w="3024"/>
            <w:vAlign w:val="center"/>
          </w:tcPr>
          <w:p>
            <w:r>
              <w:rPr>
                <w:rFonts w:ascii="Times New Roman" w:hAnsi="Times New Roman" w:eastAsia="宋体"/>
                <w:b w:val="0"/>
                <w:sz w:val="21"/>
              </w:rPr>
              <w:t>账号登录、查看班级作业、上传作文或练习册、多页提交、查看结果。</w:t>
            </w:r>
          </w:p>
        </w:tc>
        <w:tc>
          <w:tcPr>
            <w:tcW w:type="dxa" w:w="3024"/>
            <w:vAlign w:val="center"/>
          </w:tcPr>
          <w:p>
            <w:r>
              <w:rPr>
                <w:rFonts w:ascii="Times New Roman" w:hAnsi="Times New Roman" w:eastAsia="宋体"/>
                <w:b w:val="0"/>
                <w:sz w:val="21"/>
              </w:rPr>
              <w:t>把上传工作从教师端分摊到学生端，提升产品实际节省时间的能力。</w:t>
            </w:r>
          </w:p>
        </w:tc>
      </w:tr>
      <w:tr>
        <w:tc>
          <w:tcPr>
            <w:tcW w:type="dxa" w:w="3024"/>
            <w:vAlign w:val="center"/>
          </w:tcPr>
          <w:p>
            <w:r>
              <w:rPr>
                <w:rFonts w:ascii="Times New Roman" w:hAnsi="Times New Roman" w:eastAsia="宋体"/>
                <w:b w:val="0"/>
                <w:sz w:val="21"/>
              </w:rPr>
              <w:t>AI 批改服务</w:t>
            </w:r>
          </w:p>
        </w:tc>
        <w:tc>
          <w:tcPr>
            <w:tcW w:type="dxa" w:w="3024"/>
            <w:vAlign w:val="center"/>
          </w:tcPr>
          <w:p>
            <w:r>
              <w:rPr>
                <w:rFonts w:ascii="Times New Roman" w:hAnsi="Times New Roman" w:eastAsia="宋体"/>
                <w:b w:val="0"/>
                <w:sz w:val="21"/>
              </w:rPr>
              <w:t>作文评分、练习册答案解析、学生作答解析、逐题比对、知识点反馈。</w:t>
            </w:r>
          </w:p>
        </w:tc>
        <w:tc>
          <w:tcPr>
            <w:tcW w:type="dxa" w:w="3024"/>
            <w:vAlign w:val="center"/>
          </w:tcPr>
          <w:p>
            <w:r>
              <w:rPr>
                <w:rFonts w:ascii="Times New Roman" w:hAnsi="Times New Roman" w:eastAsia="宋体"/>
                <w:b w:val="0"/>
                <w:sz w:val="21"/>
              </w:rPr>
              <w:t>形成产品技术壁垒和可持续增值服务。</w:t>
            </w:r>
          </w:p>
        </w:tc>
      </w:tr>
      <w:tr>
        <w:tc>
          <w:tcPr>
            <w:tcW w:type="dxa" w:w="3024"/>
            <w:vAlign w:val="center"/>
          </w:tcPr>
          <w:p>
            <w:r>
              <w:rPr>
                <w:rFonts w:ascii="Times New Roman" w:hAnsi="Times New Roman" w:eastAsia="宋体"/>
                <w:b w:val="0"/>
                <w:sz w:val="21"/>
              </w:rPr>
              <w:t>统计后台</w:t>
            </w:r>
          </w:p>
        </w:tc>
        <w:tc>
          <w:tcPr>
            <w:tcW w:type="dxa" w:w="3024"/>
            <w:vAlign w:val="center"/>
          </w:tcPr>
          <w:p>
            <w:r>
              <w:rPr>
                <w:rFonts w:ascii="Times New Roman" w:hAnsi="Times New Roman" w:eastAsia="宋体"/>
                <w:b w:val="0"/>
                <w:sz w:val="21"/>
              </w:rPr>
              <w:t>提交人数、未交人数、批改中人数、平均分、弱项知识点、逐学生成绩。</w:t>
            </w:r>
          </w:p>
        </w:tc>
        <w:tc>
          <w:tcPr>
            <w:tcW w:type="dxa" w:w="3024"/>
            <w:vAlign w:val="center"/>
          </w:tcPr>
          <w:p>
            <w:r>
              <w:rPr>
                <w:rFonts w:ascii="Times New Roman" w:hAnsi="Times New Roman" w:eastAsia="宋体"/>
                <w:b w:val="0"/>
                <w:sz w:val="21"/>
              </w:rPr>
              <w:t>从“批改工具”升级为“教学诊断工具”。</w:t>
            </w:r>
          </w:p>
        </w:tc>
      </w:tr>
    </w:tbl>
    <w:p/>
    <w:p>
      <w:pPr>
        <w:spacing w:line="360" w:lineRule="auto" w:after="160" w:before="0"/>
        <w:jc w:val="left"/>
      </w:pPr>
      <w:r>
        <w:rPr>
          <w:rFonts w:ascii="Times New Roman" w:hAnsi="Times New Roman" w:eastAsia="黑体"/>
          <w:b/>
          <w:sz w:val="28"/>
        </w:rPr>
        <w:t>（二）核心流程</w:t>
      </w:r>
    </w:p>
    <w:p>
      <w:pPr>
        <w:spacing w:line="360" w:lineRule="auto" w:after="120" w:before="0"/>
        <w:ind w:firstLine="420"/>
      </w:pPr>
      <w:r>
        <w:rPr>
          <w:rFonts w:ascii="Times New Roman" w:hAnsi="Times New Roman" w:eastAsia="宋体"/>
          <w:b w:val="0"/>
          <w:sz w:val="21"/>
        </w:rPr>
        <w:t>教师创建作业时选择作文或练习册类型。作文作业填写题目、要求和总分，学生或教师上传图片后系统输出评分与评语；练习册作业还需填写学科、题号范围、总分并上传答案页，系统先生成结构化答案，再批改学生提交的多页作业。整个流程保留教师最终确认权，AI 分数用于提高效率，最终成绩以教师确认分优先。</w:t>
      </w:r>
    </w:p>
    <w:p>
      <w:pPr>
        <w:spacing w:line="360" w:lineRule="auto" w:after="120" w:before="0"/>
        <w:ind w:firstLine="420"/>
      </w:pPr>
      <w:r>
        <w:rPr>
          <w:rFonts w:ascii="Times New Roman" w:hAnsi="Times New Roman" w:eastAsia="宋体"/>
          <w:b w:val="0"/>
          <w:sz w:val="21"/>
        </w:rPr>
        <w:t>学生提交后，教师端可看到“正在批改”的状态提示和进度标识，避免误以为系统卡住；批改失败时展示失败原因，便于教师或学生重新上传。未提交学生仍允许教师代上传，兼顾课堂真实情况中设备不足、学生漏交或纸质作业集中收取等场景。</w:t>
      </w:r>
    </w:p>
    <w:p>
      <w:pPr>
        <w:spacing w:line="360" w:lineRule="auto" w:after="160" w:before="0"/>
        <w:jc w:val="left"/>
      </w:pPr>
      <w:r>
        <w:rPr>
          <w:rFonts w:ascii="Times New Roman" w:hAnsi="Times New Roman" w:eastAsia="黑体"/>
          <w:b/>
          <w:sz w:val="28"/>
        </w:rPr>
        <w:t>（三）技术与创新点</w:t>
      </w:r>
    </w:p>
    <w:p>
      <w:pPr>
        <w:spacing w:line="360" w:lineRule="auto" w:after="120" w:before="0"/>
        <w:ind w:firstLine="420"/>
      </w:pPr>
      <w:r>
        <w:rPr>
          <w:rFonts w:ascii="Times New Roman" w:hAnsi="Times New Roman" w:eastAsia="宋体"/>
          <w:b w:val="0"/>
          <w:sz w:val="21"/>
        </w:rPr>
        <w:t>项目的技术路线是“图片采集—文件存储—OCR/视觉理解—大模型评分—结构化结果—进度轮询—统计展示”。作文场景侧重文本识别、维度评分和评语生成；练习册场景侧重答案页解析、学生作答提取、逐题比对、知识点归因和总分汇总。相较只做文本作文批改的产品，练习册多页上传和逐题知识点反馈更贴近日常作业批改。</w:t>
      </w:r>
    </w:p>
    <w:p>
      <w:pPr>
        <w:spacing w:line="288" w:lineRule="auto" w:after="80" w:before="0"/>
        <w:jc w:val="center"/>
      </w:pPr>
      <w:r>
        <w:rPr>
          <w:rFonts w:ascii="Times New Roman" w:hAnsi="Times New Roman" w:eastAsia="黑体"/>
          <w:b/>
          <w:sz w:val="21"/>
        </w:rPr>
        <w:t>表 3-2 项目创新点</w:t>
      </w:r>
    </w:p>
    <w:tbl>
      <w:tblPr>
        <w:tblStyle w:val="22"/>
        <w:tblW w:type="auto" w:w="0"/>
        <w:jc w:val="center"/>
        <w:tblLook w:firstColumn="1" w:firstRow="1" w:lastColumn="0" w:lastRow="0" w:noHBand="0" w:noVBand="1" w:val="04A0"/>
      </w:tblPr>
      <w:tblGrid>
        <w:gridCol w:w="4536"/>
        <w:gridCol w:w="4536"/>
      </w:tblGrid>
      <w:tr>
        <w:tc>
          <w:tcPr>
            <w:tcW w:type="dxa" w:w="4536"/>
            <w:vAlign w:val="center"/>
          </w:tcPr>
          <w:p>
            <w:pPr>
              <w:jc w:val="center"/>
            </w:pPr>
            <w:r>
              <w:rPr>
                <w:rFonts w:ascii="Times New Roman" w:hAnsi="Times New Roman" w:eastAsia="黑体"/>
                <w:b/>
                <w:sz w:val="21"/>
              </w:rPr>
              <w:t>创新点</w:t>
            </w:r>
          </w:p>
        </w:tc>
        <w:tc>
          <w:tcPr>
            <w:tcW w:type="dxa" w:w="4536"/>
            <w:vAlign w:val="center"/>
          </w:tcPr>
          <w:p>
            <w:pPr>
              <w:jc w:val="center"/>
            </w:pPr>
            <w:r>
              <w:rPr>
                <w:rFonts w:ascii="Times New Roman" w:hAnsi="Times New Roman" w:eastAsia="黑体"/>
                <w:b/>
                <w:sz w:val="21"/>
              </w:rPr>
              <w:t>说明</w:t>
            </w:r>
          </w:p>
        </w:tc>
      </w:tr>
      <w:tr>
        <w:tc>
          <w:tcPr>
            <w:tcW w:type="dxa" w:w="4536"/>
            <w:vAlign w:val="center"/>
          </w:tcPr>
          <w:p>
            <w:r>
              <w:rPr>
                <w:rFonts w:ascii="Times New Roman" w:hAnsi="Times New Roman" w:eastAsia="宋体"/>
                <w:b w:val="0"/>
                <w:sz w:val="21"/>
              </w:rPr>
              <w:t>学生端自提交</w:t>
            </w:r>
          </w:p>
        </w:tc>
        <w:tc>
          <w:tcPr>
            <w:tcW w:type="dxa" w:w="4536"/>
            <w:vAlign w:val="center"/>
          </w:tcPr>
          <w:p>
            <w:r>
              <w:rPr>
                <w:rFonts w:ascii="Times New Roman" w:hAnsi="Times New Roman" w:eastAsia="宋体"/>
                <w:b w:val="0"/>
                <w:sz w:val="21"/>
              </w:rPr>
              <w:t>学生按账号查看自己班级作业并上传作业图片，教师无需逐个拍照收集。</w:t>
            </w:r>
          </w:p>
        </w:tc>
      </w:tr>
      <w:tr>
        <w:tc>
          <w:tcPr>
            <w:tcW w:type="dxa" w:w="4536"/>
            <w:vAlign w:val="center"/>
          </w:tcPr>
          <w:p>
            <w:r>
              <w:rPr>
                <w:rFonts w:ascii="Times New Roman" w:hAnsi="Times New Roman" w:eastAsia="宋体"/>
                <w:b w:val="0"/>
                <w:sz w:val="21"/>
              </w:rPr>
              <w:t>练习册答案页建标准答案</w:t>
            </w:r>
          </w:p>
        </w:tc>
        <w:tc>
          <w:tcPr>
            <w:tcW w:type="dxa" w:w="4536"/>
            <w:vAlign w:val="center"/>
          </w:tcPr>
          <w:p>
            <w:r>
              <w:rPr>
                <w:rFonts w:ascii="Times New Roman" w:hAnsi="Times New Roman" w:eastAsia="宋体"/>
                <w:b w:val="0"/>
                <w:sz w:val="21"/>
              </w:rPr>
              <w:t>教师拍摄答案页即可生成结构化答案，降低维护题库的前期成本。</w:t>
            </w:r>
          </w:p>
        </w:tc>
      </w:tr>
      <w:tr>
        <w:tc>
          <w:tcPr>
            <w:tcW w:type="dxa" w:w="4536"/>
            <w:vAlign w:val="center"/>
          </w:tcPr>
          <w:p>
            <w:r>
              <w:rPr>
                <w:rFonts w:ascii="Times New Roman" w:hAnsi="Times New Roman" w:eastAsia="宋体"/>
                <w:b w:val="0"/>
                <w:sz w:val="21"/>
              </w:rPr>
              <w:t>逐题得分与知识点反馈</w:t>
            </w:r>
          </w:p>
        </w:tc>
        <w:tc>
          <w:tcPr>
            <w:tcW w:type="dxa" w:w="4536"/>
            <w:vAlign w:val="center"/>
          </w:tcPr>
          <w:p>
            <w:r>
              <w:rPr>
                <w:rFonts w:ascii="Times New Roman" w:hAnsi="Times New Roman" w:eastAsia="宋体"/>
                <w:b w:val="0"/>
                <w:sz w:val="21"/>
              </w:rPr>
              <w:t>练习册结果不只给总分，还返回每题得分、错因和知识点。</w:t>
            </w:r>
          </w:p>
        </w:tc>
      </w:tr>
      <w:tr>
        <w:tc>
          <w:tcPr>
            <w:tcW w:type="dxa" w:w="4536"/>
            <w:vAlign w:val="center"/>
          </w:tcPr>
          <w:p>
            <w:r>
              <w:rPr>
                <w:rFonts w:ascii="Times New Roman" w:hAnsi="Times New Roman" w:eastAsia="宋体"/>
                <w:b w:val="0"/>
                <w:sz w:val="21"/>
              </w:rPr>
              <w:t>教师最终分优先</w:t>
            </w:r>
          </w:p>
        </w:tc>
        <w:tc>
          <w:tcPr>
            <w:tcW w:type="dxa" w:w="4536"/>
            <w:vAlign w:val="center"/>
          </w:tcPr>
          <w:p>
            <w:r>
              <w:rPr>
                <w:rFonts w:ascii="Times New Roman" w:hAnsi="Times New Roman" w:eastAsia="宋体"/>
                <w:b w:val="0"/>
                <w:sz w:val="21"/>
              </w:rPr>
              <w:t>AI 提供初评，教师可复核确认，符合课堂评价责任边界。</w:t>
            </w:r>
          </w:p>
        </w:tc>
      </w:tr>
      <w:tr>
        <w:tc>
          <w:tcPr>
            <w:tcW w:type="dxa" w:w="4536"/>
            <w:vAlign w:val="center"/>
          </w:tcPr>
          <w:p>
            <w:r>
              <w:rPr>
                <w:rFonts w:ascii="Times New Roman" w:hAnsi="Times New Roman" w:eastAsia="宋体"/>
                <w:b w:val="0"/>
                <w:sz w:val="21"/>
              </w:rPr>
              <w:t>演示友好的稳定闭环</w:t>
            </w:r>
          </w:p>
        </w:tc>
        <w:tc>
          <w:tcPr>
            <w:tcW w:type="dxa" w:w="4536"/>
            <w:vAlign w:val="center"/>
          </w:tcPr>
          <w:p>
            <w:r>
              <w:rPr>
                <w:rFonts w:ascii="Times New Roman" w:hAnsi="Times New Roman" w:eastAsia="宋体"/>
                <w:b w:val="0"/>
                <w:sz w:val="21"/>
              </w:rPr>
              <w:t>Android 基座、本机/服务器 MySQL、后台检测页和账号体系形成可展示闭环。</w:t>
            </w:r>
          </w:p>
        </w:tc>
      </w:tr>
    </w:tbl>
    <w:p/>
    <w:p>
      <w:pPr>
        <w:spacing w:line="360" w:lineRule="auto" w:after="240" w:before="0"/>
        <w:jc w:val="center"/>
      </w:pPr>
      <w:r>
        <w:rPr>
          <w:rFonts w:ascii="Times New Roman" w:hAnsi="Times New Roman" w:eastAsia="黑体"/>
          <w:b/>
          <w:sz w:val="32"/>
        </w:rPr>
        <w:t>四、商业模式</w:t>
      </w:r>
    </w:p>
    <w:p>
      <w:pPr>
        <w:spacing w:line="360" w:lineRule="auto" w:after="160" w:before="0"/>
        <w:jc w:val="left"/>
      </w:pPr>
      <w:r>
        <w:rPr>
          <w:rFonts w:ascii="Times New Roman" w:hAnsi="Times New Roman" w:eastAsia="黑体"/>
          <w:b/>
          <w:sz w:val="28"/>
        </w:rPr>
        <w:t>（一）价值主张</w:t>
      </w:r>
    </w:p>
    <w:p>
      <w:pPr>
        <w:spacing w:line="360" w:lineRule="auto" w:after="120" w:before="0"/>
        <w:ind w:firstLine="420"/>
      </w:pPr>
      <w:r>
        <w:rPr>
          <w:rFonts w:ascii="Times New Roman" w:hAnsi="Times New Roman" w:eastAsia="宋体"/>
          <w:b w:val="0"/>
          <w:sz w:val="21"/>
        </w:rPr>
        <w:t>智阅教育的价值主张可以概括为：用低成本 AI 批改帮助教师节省重复劳动，用学生端自提交降低作业采集负担，用结构化统计把纸质作业转化为可分析的班级学情。其本质不是替代教师，而是把教师从重复阅读、计分和录入中解放出来，让教师把判断力用于讲评设计、个别辅导和最终评价。</w:t>
      </w:r>
    </w:p>
    <w:p>
      <w:pPr>
        <w:spacing w:line="360" w:lineRule="auto" w:after="160" w:before="0"/>
        <w:jc w:val="left"/>
      </w:pPr>
      <w:r>
        <w:rPr>
          <w:rFonts w:ascii="Times New Roman" w:hAnsi="Times New Roman" w:eastAsia="黑体"/>
          <w:b/>
          <w:sz w:val="28"/>
        </w:rPr>
        <w:t>（二）收费设计</w:t>
      </w:r>
    </w:p>
    <w:p>
      <w:pPr>
        <w:spacing w:line="288" w:lineRule="auto" w:after="80" w:before="0"/>
        <w:jc w:val="center"/>
      </w:pPr>
      <w:r>
        <w:rPr>
          <w:rFonts w:ascii="Times New Roman" w:hAnsi="Times New Roman" w:eastAsia="黑体"/>
          <w:b/>
          <w:sz w:val="21"/>
        </w:rPr>
        <w:t>表 4-1 推荐收费模型</w:t>
      </w:r>
    </w:p>
    <w:tbl>
      <w:tblPr>
        <w:tblStyle w:val="22"/>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eastAsia="黑体"/>
                <w:b/>
                <w:sz w:val="21"/>
              </w:rPr>
              <w:t>套餐</w:t>
            </w:r>
          </w:p>
        </w:tc>
        <w:tc>
          <w:tcPr>
            <w:tcW w:type="dxa" w:w="2268"/>
            <w:vAlign w:val="center"/>
          </w:tcPr>
          <w:p>
            <w:pPr>
              <w:jc w:val="center"/>
            </w:pPr>
            <w:r>
              <w:rPr>
                <w:rFonts w:ascii="Times New Roman" w:hAnsi="Times New Roman" w:eastAsia="黑体"/>
                <w:b/>
                <w:sz w:val="21"/>
              </w:rPr>
              <w:t>价格建议</w:t>
            </w:r>
          </w:p>
        </w:tc>
        <w:tc>
          <w:tcPr>
            <w:tcW w:type="dxa" w:w="2268"/>
            <w:vAlign w:val="center"/>
          </w:tcPr>
          <w:p>
            <w:pPr>
              <w:jc w:val="center"/>
            </w:pPr>
            <w:r>
              <w:rPr>
                <w:rFonts w:ascii="Times New Roman" w:hAnsi="Times New Roman" w:eastAsia="黑体"/>
                <w:b/>
                <w:sz w:val="21"/>
              </w:rPr>
              <w:t>服务内容</w:t>
            </w:r>
          </w:p>
        </w:tc>
        <w:tc>
          <w:tcPr>
            <w:tcW w:type="dxa" w:w="2268"/>
            <w:vAlign w:val="center"/>
          </w:tcPr>
          <w:p>
            <w:pPr>
              <w:jc w:val="center"/>
            </w:pPr>
            <w:r>
              <w:rPr>
                <w:rFonts w:ascii="Times New Roman" w:hAnsi="Times New Roman" w:eastAsia="黑体"/>
                <w:b/>
                <w:sz w:val="21"/>
              </w:rPr>
              <w:t>适用对象</w:t>
            </w:r>
          </w:p>
        </w:tc>
      </w:tr>
      <w:tr>
        <w:tc>
          <w:tcPr>
            <w:tcW w:type="dxa" w:w="2268"/>
            <w:vAlign w:val="center"/>
          </w:tcPr>
          <w:p>
            <w:r>
              <w:rPr>
                <w:rFonts w:ascii="Times New Roman" w:hAnsi="Times New Roman" w:eastAsia="宋体"/>
                <w:b w:val="0"/>
                <w:sz w:val="21"/>
              </w:rPr>
              <w:t>免费试用</w:t>
            </w:r>
          </w:p>
        </w:tc>
        <w:tc>
          <w:tcPr>
            <w:tcW w:type="dxa" w:w="2268"/>
            <w:vAlign w:val="center"/>
          </w:tcPr>
          <w:p>
            <w:r>
              <w:rPr>
                <w:rFonts w:ascii="Times New Roman" w:hAnsi="Times New Roman" w:eastAsia="宋体"/>
                <w:b w:val="0"/>
                <w:sz w:val="21"/>
              </w:rPr>
              <w:t>0 元</w:t>
            </w:r>
          </w:p>
        </w:tc>
        <w:tc>
          <w:tcPr>
            <w:tcW w:type="dxa" w:w="2268"/>
            <w:vAlign w:val="center"/>
          </w:tcPr>
          <w:p>
            <w:r>
              <w:rPr>
                <w:rFonts w:ascii="Times New Roman" w:hAnsi="Times New Roman" w:eastAsia="宋体"/>
                <w:b w:val="0"/>
                <w:sz w:val="21"/>
              </w:rPr>
              <w:t>新教师赠送基础批改额度，体验作文和练习册流程。</w:t>
            </w:r>
          </w:p>
        </w:tc>
        <w:tc>
          <w:tcPr>
            <w:tcW w:type="dxa" w:w="2268"/>
            <w:vAlign w:val="center"/>
          </w:tcPr>
          <w:p>
            <w:r>
              <w:rPr>
                <w:rFonts w:ascii="Times New Roman" w:hAnsi="Times New Roman" w:eastAsia="宋体"/>
                <w:b w:val="0"/>
                <w:sz w:val="21"/>
              </w:rPr>
              <w:t>首次接触用户</w:t>
            </w:r>
          </w:p>
        </w:tc>
      </w:tr>
      <w:tr>
        <w:tc>
          <w:tcPr>
            <w:tcW w:type="dxa" w:w="2268"/>
            <w:vAlign w:val="center"/>
          </w:tcPr>
          <w:p>
            <w:r>
              <w:rPr>
                <w:rFonts w:ascii="Times New Roman" w:hAnsi="Times New Roman" w:eastAsia="宋体"/>
                <w:b w:val="0"/>
                <w:sz w:val="21"/>
              </w:rPr>
              <w:t>个人版</w:t>
            </w:r>
          </w:p>
        </w:tc>
        <w:tc>
          <w:tcPr>
            <w:tcW w:type="dxa" w:w="2268"/>
            <w:vAlign w:val="center"/>
          </w:tcPr>
          <w:p>
            <w:r>
              <w:rPr>
                <w:rFonts w:ascii="Times New Roman" w:hAnsi="Times New Roman" w:eastAsia="宋体"/>
                <w:b w:val="0"/>
                <w:sz w:val="21"/>
              </w:rPr>
              <w:t>29 元/月起</w:t>
            </w:r>
          </w:p>
        </w:tc>
        <w:tc>
          <w:tcPr>
            <w:tcW w:type="dxa" w:w="2268"/>
            <w:vAlign w:val="center"/>
          </w:tcPr>
          <w:p>
            <w:r>
              <w:rPr>
                <w:rFonts w:ascii="Times New Roman" w:hAnsi="Times New Roman" w:eastAsia="宋体"/>
                <w:b w:val="0"/>
                <w:sz w:val="21"/>
              </w:rPr>
              <w:t>固定批改额度、学生端账号、基础统计。</w:t>
            </w:r>
          </w:p>
        </w:tc>
        <w:tc>
          <w:tcPr>
            <w:tcW w:type="dxa" w:w="2268"/>
            <w:vAlign w:val="center"/>
          </w:tcPr>
          <w:p>
            <w:r>
              <w:rPr>
                <w:rFonts w:ascii="Times New Roman" w:hAnsi="Times New Roman" w:eastAsia="宋体"/>
                <w:b w:val="0"/>
                <w:sz w:val="21"/>
              </w:rPr>
              <w:t>1 名教师、1 至 2 个班</w:t>
            </w:r>
          </w:p>
        </w:tc>
      </w:tr>
      <w:tr>
        <w:tc>
          <w:tcPr>
            <w:tcW w:type="dxa" w:w="2268"/>
            <w:vAlign w:val="center"/>
          </w:tcPr>
          <w:p>
            <w:r>
              <w:rPr>
                <w:rFonts w:ascii="Times New Roman" w:hAnsi="Times New Roman" w:eastAsia="宋体"/>
                <w:b w:val="0"/>
                <w:sz w:val="21"/>
              </w:rPr>
              <w:t>专业版</w:t>
            </w:r>
          </w:p>
        </w:tc>
        <w:tc>
          <w:tcPr>
            <w:tcW w:type="dxa" w:w="2268"/>
            <w:vAlign w:val="center"/>
          </w:tcPr>
          <w:p>
            <w:r>
              <w:rPr>
                <w:rFonts w:ascii="Times New Roman" w:hAnsi="Times New Roman" w:eastAsia="宋体"/>
                <w:b w:val="0"/>
                <w:sz w:val="21"/>
              </w:rPr>
              <w:t>59 元/月起</w:t>
            </w:r>
          </w:p>
        </w:tc>
        <w:tc>
          <w:tcPr>
            <w:tcW w:type="dxa" w:w="2268"/>
            <w:vAlign w:val="center"/>
          </w:tcPr>
          <w:p>
            <w:r>
              <w:rPr>
                <w:rFonts w:ascii="Times New Roman" w:hAnsi="Times New Roman" w:eastAsia="宋体"/>
                <w:b w:val="0"/>
                <w:sz w:val="21"/>
              </w:rPr>
              <w:t>更多额度、批量上传、统计导出、练习册增强。</w:t>
            </w:r>
          </w:p>
        </w:tc>
        <w:tc>
          <w:tcPr>
            <w:tcW w:type="dxa" w:w="2268"/>
            <w:vAlign w:val="center"/>
          </w:tcPr>
          <w:p>
            <w:r>
              <w:rPr>
                <w:rFonts w:ascii="Times New Roman" w:hAnsi="Times New Roman" w:eastAsia="宋体"/>
                <w:b w:val="0"/>
                <w:sz w:val="21"/>
              </w:rPr>
              <w:t>多班级任课教师</w:t>
            </w:r>
          </w:p>
        </w:tc>
      </w:tr>
      <w:tr>
        <w:tc>
          <w:tcPr>
            <w:tcW w:type="dxa" w:w="2268"/>
            <w:vAlign w:val="center"/>
          </w:tcPr>
          <w:p>
            <w:r>
              <w:rPr>
                <w:rFonts w:ascii="Times New Roman" w:hAnsi="Times New Roman" w:eastAsia="宋体"/>
                <w:b w:val="0"/>
                <w:sz w:val="21"/>
              </w:rPr>
              <w:t>教研组版</w:t>
            </w:r>
          </w:p>
        </w:tc>
        <w:tc>
          <w:tcPr>
            <w:tcW w:type="dxa" w:w="2268"/>
            <w:vAlign w:val="center"/>
          </w:tcPr>
          <w:p>
            <w:r>
              <w:rPr>
                <w:rFonts w:ascii="Times New Roman" w:hAnsi="Times New Roman" w:eastAsia="宋体"/>
                <w:b w:val="0"/>
                <w:sz w:val="21"/>
              </w:rPr>
              <w:t>按教师数/班级数报价</w:t>
            </w:r>
          </w:p>
        </w:tc>
        <w:tc>
          <w:tcPr>
            <w:tcW w:type="dxa" w:w="2268"/>
            <w:vAlign w:val="center"/>
          </w:tcPr>
          <w:p>
            <w:r>
              <w:rPr>
                <w:rFonts w:ascii="Times New Roman" w:hAnsi="Times New Roman" w:eastAsia="宋体"/>
                <w:b w:val="0"/>
                <w:sz w:val="21"/>
              </w:rPr>
              <w:t>共享答案页、年级统计、统一管理。</w:t>
            </w:r>
          </w:p>
        </w:tc>
        <w:tc>
          <w:tcPr>
            <w:tcW w:type="dxa" w:w="2268"/>
            <w:vAlign w:val="center"/>
          </w:tcPr>
          <w:p>
            <w:r>
              <w:rPr>
                <w:rFonts w:ascii="Times New Roman" w:hAnsi="Times New Roman" w:eastAsia="宋体"/>
                <w:b w:val="0"/>
                <w:sz w:val="21"/>
              </w:rPr>
              <w:t>备课组、培训机构</w:t>
            </w:r>
          </w:p>
        </w:tc>
      </w:tr>
      <w:tr>
        <w:tc>
          <w:tcPr>
            <w:tcW w:type="dxa" w:w="2268"/>
            <w:vAlign w:val="center"/>
          </w:tcPr>
          <w:p>
            <w:r>
              <w:rPr>
                <w:rFonts w:ascii="Times New Roman" w:hAnsi="Times New Roman" w:eastAsia="宋体"/>
                <w:b w:val="0"/>
                <w:sz w:val="21"/>
              </w:rPr>
              <w:t>学校版</w:t>
            </w:r>
          </w:p>
        </w:tc>
        <w:tc>
          <w:tcPr>
            <w:tcW w:type="dxa" w:w="2268"/>
            <w:vAlign w:val="center"/>
          </w:tcPr>
          <w:p>
            <w:r>
              <w:rPr>
                <w:rFonts w:ascii="Times New Roman" w:hAnsi="Times New Roman" w:eastAsia="宋体"/>
                <w:b w:val="0"/>
                <w:sz w:val="21"/>
              </w:rPr>
              <w:t>项目制或年费</w:t>
            </w:r>
          </w:p>
        </w:tc>
        <w:tc>
          <w:tcPr>
            <w:tcW w:type="dxa" w:w="2268"/>
            <w:vAlign w:val="center"/>
          </w:tcPr>
          <w:p>
            <w:r>
              <w:rPr>
                <w:rFonts w:ascii="Times New Roman" w:hAnsi="Times New Roman" w:eastAsia="宋体"/>
                <w:b w:val="0"/>
                <w:sz w:val="21"/>
              </w:rPr>
              <w:t>私有化/专属部署、账号管理、数据看板、运维支持。</w:t>
            </w:r>
          </w:p>
        </w:tc>
        <w:tc>
          <w:tcPr>
            <w:tcW w:type="dxa" w:w="2268"/>
            <w:vAlign w:val="center"/>
          </w:tcPr>
          <w:p>
            <w:r>
              <w:rPr>
                <w:rFonts w:ascii="Times New Roman" w:hAnsi="Times New Roman" w:eastAsia="宋体"/>
                <w:b w:val="0"/>
                <w:sz w:val="21"/>
              </w:rPr>
              <w:t>学校采购</w:t>
            </w:r>
          </w:p>
        </w:tc>
      </w:tr>
    </w:tbl>
    <w:p/>
    <w:p>
      <w:pPr>
        <w:spacing w:line="360" w:lineRule="auto" w:after="160" w:before="0"/>
        <w:jc w:val="left"/>
      </w:pPr>
      <w:r>
        <w:rPr>
          <w:rFonts w:ascii="Times New Roman" w:hAnsi="Times New Roman" w:eastAsia="黑体"/>
          <w:b/>
          <w:sz w:val="28"/>
        </w:rPr>
        <w:t>（三）单位经济模型</w:t>
      </w:r>
    </w:p>
    <w:p>
      <w:pPr>
        <w:spacing w:line="360" w:lineRule="auto" w:after="120" w:before="0"/>
        <w:ind w:firstLine="420"/>
      </w:pPr>
      <w:r>
        <w:rPr>
          <w:rFonts w:ascii="Times New Roman" w:hAnsi="Times New Roman" w:eastAsia="宋体"/>
          <w:b w:val="0"/>
          <w:sz w:val="21"/>
        </w:rPr>
        <w:t>从成本侧看，单次批改主要由图片存储、OCR/视觉识别和大模型调用构成。以原型阶段估算，单次批改综合成本约为 0.05 元至 0.15 元；若个人版每月 200 次额度定价 29 元，收入可覆盖推理成本并留下产品研发、运维和服务空间。更重要的是，教师节省的时间价值明显高于月费：若每周节省 5 小时，按每小时 100 元的机会成本计算，月度节省价值约为 2000 元，29 元月费具有较强的价格接受度。</w:t>
      </w:r>
    </w:p>
    <w:p>
      <w:pPr>
        <w:spacing w:line="288" w:lineRule="auto" w:after="80" w:before="0"/>
        <w:jc w:val="center"/>
      </w:pPr>
      <w:r>
        <w:rPr>
          <w:rFonts w:ascii="Times New Roman" w:hAnsi="Times New Roman" w:eastAsia="黑体"/>
          <w:b/>
          <w:sz w:val="21"/>
        </w:rPr>
        <w:t>表 4-2 收入测算示例</w:t>
      </w:r>
    </w:p>
    <w:tbl>
      <w:tblPr>
        <w:tblStyle w:val="22"/>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eastAsia="黑体"/>
                <w:b/>
                <w:sz w:val="21"/>
              </w:rPr>
              <w:t>阶段</w:t>
            </w:r>
          </w:p>
        </w:tc>
        <w:tc>
          <w:tcPr>
            <w:tcW w:type="dxa" w:w="1814"/>
            <w:vAlign w:val="center"/>
          </w:tcPr>
          <w:p>
            <w:pPr>
              <w:jc w:val="center"/>
            </w:pPr>
            <w:r>
              <w:rPr>
                <w:rFonts w:ascii="Times New Roman" w:hAnsi="Times New Roman" w:eastAsia="黑体"/>
                <w:b/>
                <w:sz w:val="21"/>
              </w:rPr>
              <w:t>付费用户数</w:t>
            </w:r>
          </w:p>
        </w:tc>
        <w:tc>
          <w:tcPr>
            <w:tcW w:type="dxa" w:w="1814"/>
            <w:vAlign w:val="center"/>
          </w:tcPr>
          <w:p>
            <w:pPr>
              <w:jc w:val="center"/>
            </w:pPr>
            <w:r>
              <w:rPr>
                <w:rFonts w:ascii="Times New Roman" w:hAnsi="Times New Roman" w:eastAsia="黑体"/>
                <w:b/>
                <w:sz w:val="21"/>
              </w:rPr>
              <w:t>客单价假设</w:t>
            </w:r>
          </w:p>
        </w:tc>
        <w:tc>
          <w:tcPr>
            <w:tcW w:type="dxa" w:w="1814"/>
            <w:vAlign w:val="center"/>
          </w:tcPr>
          <w:p>
            <w:pPr>
              <w:jc w:val="center"/>
            </w:pPr>
            <w:r>
              <w:rPr>
                <w:rFonts w:ascii="Times New Roman" w:hAnsi="Times New Roman" w:eastAsia="黑体"/>
                <w:b/>
                <w:sz w:val="21"/>
              </w:rPr>
              <w:t>月收入估算</w:t>
            </w:r>
          </w:p>
        </w:tc>
        <w:tc>
          <w:tcPr>
            <w:tcW w:type="dxa" w:w="1814"/>
            <w:vAlign w:val="center"/>
          </w:tcPr>
          <w:p>
            <w:pPr>
              <w:jc w:val="center"/>
            </w:pPr>
            <w:r>
              <w:rPr>
                <w:rFonts w:ascii="Times New Roman" w:hAnsi="Times New Roman" w:eastAsia="黑体"/>
                <w:b/>
                <w:sz w:val="21"/>
              </w:rPr>
              <w:t>经营重点</w:t>
            </w:r>
          </w:p>
        </w:tc>
      </w:tr>
      <w:tr>
        <w:tc>
          <w:tcPr>
            <w:tcW w:type="dxa" w:w="1814"/>
            <w:vAlign w:val="center"/>
          </w:tcPr>
          <w:p>
            <w:r>
              <w:rPr>
                <w:rFonts w:ascii="Times New Roman" w:hAnsi="Times New Roman" w:eastAsia="宋体"/>
                <w:b w:val="0"/>
                <w:sz w:val="21"/>
              </w:rPr>
              <w:t>试点期</w:t>
            </w:r>
          </w:p>
        </w:tc>
        <w:tc>
          <w:tcPr>
            <w:tcW w:type="dxa" w:w="1814"/>
            <w:vAlign w:val="center"/>
          </w:tcPr>
          <w:p>
            <w:r>
              <w:rPr>
                <w:rFonts w:ascii="Times New Roman" w:hAnsi="Times New Roman" w:eastAsia="宋体"/>
                <w:b w:val="0"/>
                <w:sz w:val="21"/>
              </w:rPr>
              <w:t>100 人</w:t>
            </w:r>
          </w:p>
        </w:tc>
        <w:tc>
          <w:tcPr>
            <w:tcW w:type="dxa" w:w="1814"/>
            <w:vAlign w:val="center"/>
          </w:tcPr>
          <w:p>
            <w:r>
              <w:rPr>
                <w:rFonts w:ascii="Times New Roman" w:hAnsi="Times New Roman" w:eastAsia="宋体"/>
                <w:b w:val="0"/>
                <w:sz w:val="21"/>
              </w:rPr>
              <w:t>29 元/月</w:t>
            </w:r>
          </w:p>
        </w:tc>
        <w:tc>
          <w:tcPr>
            <w:tcW w:type="dxa" w:w="1814"/>
            <w:vAlign w:val="center"/>
          </w:tcPr>
          <w:p>
            <w:r>
              <w:rPr>
                <w:rFonts w:ascii="Times New Roman" w:hAnsi="Times New Roman" w:eastAsia="宋体"/>
                <w:b w:val="0"/>
                <w:sz w:val="21"/>
              </w:rPr>
              <w:t>约 2900 元</w:t>
            </w:r>
          </w:p>
        </w:tc>
        <w:tc>
          <w:tcPr>
            <w:tcW w:type="dxa" w:w="1814"/>
            <w:vAlign w:val="center"/>
          </w:tcPr>
          <w:p>
            <w:r>
              <w:rPr>
                <w:rFonts w:ascii="Times New Roman" w:hAnsi="Times New Roman" w:eastAsia="宋体"/>
                <w:b w:val="0"/>
                <w:sz w:val="21"/>
              </w:rPr>
              <w:t>验证批改准确率和续费意愿</w:t>
            </w:r>
          </w:p>
        </w:tc>
      </w:tr>
      <w:tr>
        <w:tc>
          <w:tcPr>
            <w:tcW w:type="dxa" w:w="1814"/>
            <w:vAlign w:val="center"/>
          </w:tcPr>
          <w:p>
            <w:r>
              <w:rPr>
                <w:rFonts w:ascii="Times New Roman" w:hAnsi="Times New Roman" w:eastAsia="宋体"/>
                <w:b w:val="0"/>
                <w:sz w:val="21"/>
              </w:rPr>
              <w:t>增长期</w:t>
            </w:r>
          </w:p>
        </w:tc>
        <w:tc>
          <w:tcPr>
            <w:tcW w:type="dxa" w:w="1814"/>
            <w:vAlign w:val="center"/>
          </w:tcPr>
          <w:p>
            <w:r>
              <w:rPr>
                <w:rFonts w:ascii="Times New Roman" w:hAnsi="Times New Roman" w:eastAsia="宋体"/>
                <w:b w:val="0"/>
                <w:sz w:val="21"/>
              </w:rPr>
              <w:t>1000 人</w:t>
            </w:r>
          </w:p>
        </w:tc>
        <w:tc>
          <w:tcPr>
            <w:tcW w:type="dxa" w:w="1814"/>
            <w:vAlign w:val="center"/>
          </w:tcPr>
          <w:p>
            <w:r>
              <w:rPr>
                <w:rFonts w:ascii="Times New Roman" w:hAnsi="Times New Roman" w:eastAsia="宋体"/>
                <w:b w:val="0"/>
                <w:sz w:val="21"/>
              </w:rPr>
              <w:t>29 至 59 元/月</w:t>
            </w:r>
          </w:p>
        </w:tc>
        <w:tc>
          <w:tcPr>
            <w:tcW w:type="dxa" w:w="1814"/>
            <w:vAlign w:val="center"/>
          </w:tcPr>
          <w:p>
            <w:r>
              <w:rPr>
                <w:rFonts w:ascii="Times New Roman" w:hAnsi="Times New Roman" w:eastAsia="宋体"/>
                <w:b w:val="0"/>
                <w:sz w:val="21"/>
              </w:rPr>
              <w:t>约 2.9 万至 5.9 万元</w:t>
            </w:r>
          </w:p>
        </w:tc>
        <w:tc>
          <w:tcPr>
            <w:tcW w:type="dxa" w:w="1814"/>
            <w:vAlign w:val="center"/>
          </w:tcPr>
          <w:p>
            <w:r>
              <w:rPr>
                <w:rFonts w:ascii="Times New Roman" w:hAnsi="Times New Roman" w:eastAsia="宋体"/>
                <w:b w:val="0"/>
                <w:sz w:val="21"/>
              </w:rPr>
              <w:t>优化获客渠道和客服流程</w:t>
            </w:r>
          </w:p>
        </w:tc>
      </w:tr>
      <w:tr>
        <w:tc>
          <w:tcPr>
            <w:tcW w:type="dxa" w:w="1814"/>
            <w:vAlign w:val="center"/>
          </w:tcPr>
          <w:p>
            <w:r>
              <w:rPr>
                <w:rFonts w:ascii="Times New Roman" w:hAnsi="Times New Roman" w:eastAsia="宋体"/>
                <w:b w:val="0"/>
                <w:sz w:val="21"/>
              </w:rPr>
              <w:t>规模期</w:t>
            </w:r>
          </w:p>
        </w:tc>
        <w:tc>
          <w:tcPr>
            <w:tcW w:type="dxa" w:w="1814"/>
            <w:vAlign w:val="center"/>
          </w:tcPr>
          <w:p>
            <w:r>
              <w:rPr>
                <w:rFonts w:ascii="Times New Roman" w:hAnsi="Times New Roman" w:eastAsia="宋体"/>
                <w:b w:val="0"/>
                <w:sz w:val="21"/>
              </w:rPr>
              <w:t>10000 人</w:t>
            </w:r>
          </w:p>
        </w:tc>
        <w:tc>
          <w:tcPr>
            <w:tcW w:type="dxa" w:w="1814"/>
            <w:vAlign w:val="center"/>
          </w:tcPr>
          <w:p>
            <w:r>
              <w:rPr>
                <w:rFonts w:ascii="Times New Roman" w:hAnsi="Times New Roman" w:eastAsia="宋体"/>
                <w:b w:val="0"/>
                <w:sz w:val="21"/>
              </w:rPr>
              <w:t>29 至 59 元/月</w:t>
            </w:r>
          </w:p>
        </w:tc>
        <w:tc>
          <w:tcPr>
            <w:tcW w:type="dxa" w:w="1814"/>
            <w:vAlign w:val="center"/>
          </w:tcPr>
          <w:p>
            <w:r>
              <w:rPr>
                <w:rFonts w:ascii="Times New Roman" w:hAnsi="Times New Roman" w:eastAsia="宋体"/>
                <w:b w:val="0"/>
                <w:sz w:val="21"/>
              </w:rPr>
              <w:t>约 29 万至 59 万元</w:t>
            </w:r>
          </w:p>
        </w:tc>
        <w:tc>
          <w:tcPr>
            <w:tcW w:type="dxa" w:w="1814"/>
            <w:vAlign w:val="center"/>
          </w:tcPr>
          <w:p>
            <w:r>
              <w:rPr>
                <w:rFonts w:ascii="Times New Roman" w:hAnsi="Times New Roman" w:eastAsia="宋体"/>
                <w:b w:val="0"/>
                <w:sz w:val="21"/>
              </w:rPr>
              <w:t>建立学校版与渠道合作</w:t>
            </w:r>
          </w:p>
        </w:tc>
      </w:tr>
    </w:tbl>
    <w:p/>
    <w:p>
      <w:pPr>
        <w:spacing w:line="288" w:lineRule="auto" w:after="160" w:before="0"/>
        <w:jc w:val="left"/>
      </w:pPr>
      <w:r>
        <w:rPr>
          <w:rFonts w:ascii="Times New Roman" w:hAnsi="Times New Roman" w:eastAsia="宋体"/>
          <w:b w:val="0"/>
          <w:sz w:val="18"/>
        </w:rPr>
        <w:t>注：以上为商业计划测算，不代表已实现收入；实际收入取决于批改准确率、获客成本、留存率和 API 成本。</w:t>
      </w:r>
    </w:p>
    <w:p>
      <w:pPr>
        <w:spacing w:line="360" w:lineRule="auto" w:after="240" w:before="0"/>
        <w:jc w:val="center"/>
      </w:pPr>
      <w:r>
        <w:rPr>
          <w:rFonts w:ascii="Times New Roman" w:hAnsi="Times New Roman" w:eastAsia="黑体"/>
          <w:b/>
          <w:sz w:val="32"/>
        </w:rPr>
        <w:t>五、营销策略</w:t>
      </w:r>
    </w:p>
    <w:p>
      <w:pPr>
        <w:spacing w:line="360" w:lineRule="auto" w:after="160" w:before="0"/>
        <w:jc w:val="left"/>
      </w:pPr>
      <w:r>
        <w:rPr>
          <w:rFonts w:ascii="Times New Roman" w:hAnsi="Times New Roman" w:eastAsia="黑体"/>
          <w:b/>
          <w:sz w:val="28"/>
        </w:rPr>
        <w:t>（一）竞争分析</w:t>
      </w:r>
    </w:p>
    <w:p>
      <w:pPr>
        <w:spacing w:line="288" w:lineRule="auto" w:after="80" w:before="0"/>
        <w:jc w:val="center"/>
      </w:pPr>
      <w:r>
        <w:rPr>
          <w:rFonts w:ascii="Times New Roman" w:hAnsi="Times New Roman" w:eastAsia="黑体"/>
          <w:b/>
          <w:sz w:val="21"/>
        </w:rPr>
        <w:t>表 5-1 竞品与差异化分析</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对象</w:t>
            </w:r>
          </w:p>
        </w:tc>
        <w:tc>
          <w:tcPr>
            <w:tcW w:type="dxa" w:w="3024"/>
            <w:vAlign w:val="center"/>
          </w:tcPr>
          <w:p>
            <w:pPr>
              <w:jc w:val="center"/>
            </w:pPr>
            <w:r>
              <w:rPr>
                <w:rFonts w:ascii="Times New Roman" w:hAnsi="Times New Roman" w:eastAsia="黑体"/>
                <w:b/>
                <w:sz w:val="21"/>
              </w:rPr>
              <w:t>主要特点</w:t>
            </w:r>
          </w:p>
        </w:tc>
        <w:tc>
          <w:tcPr>
            <w:tcW w:type="dxa" w:w="3024"/>
            <w:vAlign w:val="center"/>
          </w:tcPr>
          <w:p>
            <w:pPr>
              <w:jc w:val="center"/>
            </w:pPr>
            <w:r>
              <w:rPr>
                <w:rFonts w:ascii="Times New Roman" w:hAnsi="Times New Roman" w:eastAsia="黑体"/>
                <w:b/>
                <w:sz w:val="21"/>
              </w:rPr>
              <w:t>智阅教育差异化</w:t>
            </w:r>
          </w:p>
        </w:tc>
      </w:tr>
      <w:tr>
        <w:tc>
          <w:tcPr>
            <w:tcW w:type="dxa" w:w="3024"/>
            <w:vAlign w:val="center"/>
          </w:tcPr>
          <w:p>
            <w:r>
              <w:rPr>
                <w:rFonts w:ascii="Times New Roman" w:hAnsi="Times New Roman" w:eastAsia="宋体"/>
                <w:b w:val="0"/>
                <w:sz w:val="21"/>
              </w:rPr>
              <w:t>批改网等作文类工具</w:t>
            </w:r>
          </w:p>
        </w:tc>
        <w:tc>
          <w:tcPr>
            <w:tcW w:type="dxa" w:w="3024"/>
            <w:vAlign w:val="center"/>
          </w:tcPr>
          <w:p>
            <w:r>
              <w:rPr>
                <w:rFonts w:ascii="Times New Roman" w:hAnsi="Times New Roman" w:eastAsia="宋体"/>
                <w:b w:val="0"/>
                <w:sz w:val="21"/>
              </w:rPr>
              <w:t>英语作文批改能力较成熟，常以学校场景为主。</w:t>
            </w:r>
          </w:p>
        </w:tc>
        <w:tc>
          <w:tcPr>
            <w:tcW w:type="dxa" w:w="3024"/>
            <w:vAlign w:val="center"/>
          </w:tcPr>
          <w:p>
            <w:r>
              <w:rPr>
                <w:rFonts w:ascii="Times New Roman" w:hAnsi="Times New Roman" w:eastAsia="宋体"/>
                <w:b w:val="0"/>
                <w:sz w:val="21"/>
              </w:rPr>
              <w:t>扩展到语文写作、数学/练习册场景，并服务个人教师低门槛使用。</w:t>
            </w:r>
          </w:p>
        </w:tc>
      </w:tr>
      <w:tr>
        <w:tc>
          <w:tcPr>
            <w:tcW w:type="dxa" w:w="3024"/>
            <w:vAlign w:val="center"/>
          </w:tcPr>
          <w:p>
            <w:r>
              <w:rPr>
                <w:rFonts w:ascii="Times New Roman" w:hAnsi="Times New Roman" w:eastAsia="宋体"/>
                <w:b w:val="0"/>
                <w:sz w:val="21"/>
              </w:rPr>
              <w:t>智学网等校园平台</w:t>
            </w:r>
          </w:p>
        </w:tc>
        <w:tc>
          <w:tcPr>
            <w:tcW w:type="dxa" w:w="3024"/>
            <w:vAlign w:val="center"/>
          </w:tcPr>
          <w:p>
            <w:r>
              <w:rPr>
                <w:rFonts w:ascii="Times New Roman" w:hAnsi="Times New Roman" w:eastAsia="宋体"/>
                <w:b w:val="0"/>
                <w:sz w:val="21"/>
              </w:rPr>
              <w:t>学校统一采购，系统能力完整但个人教师难以独立开通。</w:t>
            </w:r>
          </w:p>
        </w:tc>
        <w:tc>
          <w:tcPr>
            <w:tcW w:type="dxa" w:w="3024"/>
            <w:vAlign w:val="center"/>
          </w:tcPr>
          <w:p>
            <w:r>
              <w:rPr>
                <w:rFonts w:ascii="Times New Roman" w:hAnsi="Times New Roman" w:eastAsia="宋体"/>
                <w:b w:val="0"/>
                <w:sz w:val="21"/>
              </w:rPr>
              <w:t>先做轻量移动端和个人订阅，缩短决策链条。</w:t>
            </w:r>
          </w:p>
        </w:tc>
      </w:tr>
      <w:tr>
        <w:tc>
          <w:tcPr>
            <w:tcW w:type="dxa" w:w="3024"/>
            <w:vAlign w:val="center"/>
          </w:tcPr>
          <w:p>
            <w:r>
              <w:rPr>
                <w:rFonts w:ascii="Times New Roman" w:hAnsi="Times New Roman" w:eastAsia="宋体"/>
                <w:b w:val="0"/>
                <w:sz w:val="21"/>
              </w:rPr>
              <w:t>在线作业/题库平台</w:t>
            </w:r>
          </w:p>
        </w:tc>
        <w:tc>
          <w:tcPr>
            <w:tcW w:type="dxa" w:w="3024"/>
            <w:vAlign w:val="center"/>
          </w:tcPr>
          <w:p>
            <w:r>
              <w:rPr>
                <w:rFonts w:ascii="Times New Roman" w:hAnsi="Times New Roman" w:eastAsia="宋体"/>
                <w:b w:val="0"/>
                <w:sz w:val="21"/>
              </w:rPr>
              <w:t>适合线上题目和标准化选择题，依赖题库录入。</w:t>
            </w:r>
          </w:p>
        </w:tc>
        <w:tc>
          <w:tcPr>
            <w:tcW w:type="dxa" w:w="3024"/>
            <w:vAlign w:val="center"/>
          </w:tcPr>
          <w:p>
            <w:r>
              <w:rPr>
                <w:rFonts w:ascii="Times New Roman" w:hAnsi="Times New Roman" w:eastAsia="宋体"/>
                <w:b w:val="0"/>
                <w:sz w:val="21"/>
              </w:rPr>
              <w:t>面向现实中的纸质作业和练习册，拍照即可进入批改流程。</w:t>
            </w:r>
          </w:p>
        </w:tc>
      </w:tr>
      <w:tr>
        <w:tc>
          <w:tcPr>
            <w:tcW w:type="dxa" w:w="3024"/>
            <w:vAlign w:val="center"/>
          </w:tcPr>
          <w:p>
            <w:r>
              <w:rPr>
                <w:rFonts w:ascii="Times New Roman" w:hAnsi="Times New Roman" w:eastAsia="宋体"/>
                <w:b w:val="0"/>
                <w:sz w:val="21"/>
              </w:rPr>
              <w:t>人工批改</w:t>
            </w:r>
          </w:p>
        </w:tc>
        <w:tc>
          <w:tcPr>
            <w:tcW w:type="dxa" w:w="3024"/>
            <w:vAlign w:val="center"/>
          </w:tcPr>
          <w:p>
            <w:r>
              <w:rPr>
                <w:rFonts w:ascii="Times New Roman" w:hAnsi="Times New Roman" w:eastAsia="宋体"/>
                <w:b w:val="0"/>
                <w:sz w:val="21"/>
              </w:rPr>
              <w:t>准确、灵活，但耗时高且数据沉淀弱。</w:t>
            </w:r>
          </w:p>
        </w:tc>
        <w:tc>
          <w:tcPr>
            <w:tcW w:type="dxa" w:w="3024"/>
            <w:vAlign w:val="center"/>
          </w:tcPr>
          <w:p>
            <w:r>
              <w:rPr>
                <w:rFonts w:ascii="Times New Roman" w:hAnsi="Times New Roman" w:eastAsia="宋体"/>
                <w:b w:val="0"/>
                <w:sz w:val="21"/>
              </w:rPr>
              <w:t>AI 完成初评和统计，教师保留最终确认权。</w:t>
            </w:r>
          </w:p>
        </w:tc>
      </w:tr>
    </w:tbl>
    <w:p/>
    <w:p>
      <w:pPr>
        <w:spacing w:line="360" w:lineRule="auto" w:after="160" w:before="0"/>
        <w:jc w:val="left"/>
      </w:pPr>
      <w:r>
        <w:rPr>
          <w:rFonts w:ascii="Times New Roman" w:hAnsi="Times New Roman" w:eastAsia="黑体"/>
          <w:b/>
          <w:sz w:val="28"/>
        </w:rPr>
        <w:t>（二）获客路径</w:t>
      </w:r>
    </w:p>
    <w:p>
      <w:pPr>
        <w:spacing w:line="360" w:lineRule="auto" w:after="120" w:before="0"/>
        <w:ind w:firstLine="420"/>
      </w:pPr>
      <w:r>
        <w:rPr>
          <w:rFonts w:ascii="Times New Roman" w:hAnsi="Times New Roman" w:eastAsia="宋体"/>
          <w:b w:val="0"/>
          <w:sz w:val="21"/>
        </w:rPr>
        <w:t>项目初期应采用低成本、强反馈的获客方式：一是邀请身边教师和实习学校开展小范围试用，重点观察真实上传图片质量、批改结果接受度和教师复核习惯；二是在小红书、抖音、知乎、教师社群发布“批改前后对比”“练习册逐题统计”等案例内容，用真实场景展示节省时间；三是与教培机构和学校备课组合作，选取一个年级或一个学科进行试点，用统计报告证明价值。</w:t>
      </w:r>
    </w:p>
    <w:p>
      <w:pPr>
        <w:spacing w:line="360" w:lineRule="auto" w:after="160" w:before="0"/>
        <w:jc w:val="left"/>
      </w:pPr>
      <w:r>
        <w:rPr>
          <w:rFonts w:ascii="Times New Roman" w:hAnsi="Times New Roman" w:eastAsia="黑体"/>
          <w:b/>
          <w:sz w:val="28"/>
        </w:rPr>
        <w:t>（三）转化与留存</w:t>
      </w:r>
    </w:p>
    <w:p>
      <w:pPr>
        <w:spacing w:line="360" w:lineRule="auto" w:after="120" w:before="0"/>
        <w:ind w:firstLine="420"/>
      </w:pPr>
      <w:r>
        <w:rPr>
          <w:rFonts w:ascii="Times New Roman" w:hAnsi="Times New Roman" w:eastAsia="宋体"/>
          <w:b w:val="0"/>
          <w:sz w:val="21"/>
        </w:rPr>
        <w:t>商业转化不宜只强调“AI 很先进”，而应强调“本周作业能少花多少时间、讲评能更有依据”。免费试用额度用于降低首次体验门槛；个人版订阅用于覆盖高频教师；教研组版和学校版则通过统一账号、导出报表、知识点薄弱项分析和隐私部署形成更高客单价。留存的关键指标包括月活教师数、月均批改次数、学生提交率、教师确认最终分比例、作业统计页打开次数和续费率。</w:t>
      </w:r>
    </w:p>
    <w:p>
      <w:pPr>
        <w:spacing w:line="360" w:lineRule="auto" w:after="240" w:before="0"/>
        <w:jc w:val="center"/>
      </w:pPr>
      <w:r>
        <w:rPr>
          <w:rFonts w:ascii="Times New Roman" w:hAnsi="Times New Roman" w:eastAsia="黑体"/>
          <w:b/>
          <w:sz w:val="32"/>
        </w:rPr>
        <w:t>六、项目团队</w:t>
      </w:r>
    </w:p>
    <w:p>
      <w:pPr>
        <w:spacing w:line="360" w:lineRule="auto" w:after="160" w:before="0"/>
        <w:jc w:val="left"/>
      </w:pPr>
      <w:r>
        <w:rPr>
          <w:rFonts w:ascii="Times New Roman" w:hAnsi="Times New Roman" w:eastAsia="黑体"/>
          <w:b/>
          <w:sz w:val="28"/>
        </w:rPr>
        <w:t>（一）团队组成</w:t>
      </w:r>
    </w:p>
    <w:p>
      <w:pPr>
        <w:spacing w:line="360" w:lineRule="auto" w:after="120" w:before="0"/>
        <w:ind w:firstLine="420"/>
      </w:pPr>
      <w:r>
        <w:rPr>
          <w:rFonts w:ascii="Times New Roman" w:hAnsi="Times New Roman" w:eastAsia="宋体"/>
          <w:b w:val="0"/>
          <w:sz w:val="21"/>
        </w:rPr>
        <w:t>项目团队以计算机与教育应用交叉能力为核心，围绕产品设计、后端研发、移动端开发、AI 提示词与批改评测、市场调研和教学试点形成分工。当前文档保留团队成员姓名、学院、专业、联系方式等参赛信息的可填写空间，便于后续根据报名材料补齐。</w:t>
      </w:r>
    </w:p>
    <w:p>
      <w:pPr>
        <w:spacing w:line="288" w:lineRule="auto" w:after="80" w:before="0"/>
        <w:jc w:val="center"/>
      </w:pPr>
      <w:r>
        <w:rPr>
          <w:rFonts w:ascii="Times New Roman" w:hAnsi="Times New Roman" w:eastAsia="黑体"/>
          <w:b/>
          <w:sz w:val="21"/>
        </w:rPr>
        <w:t>表 6-1 团队分工建议</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角色</w:t>
            </w:r>
          </w:p>
        </w:tc>
        <w:tc>
          <w:tcPr>
            <w:tcW w:type="dxa" w:w="3024"/>
            <w:vAlign w:val="center"/>
          </w:tcPr>
          <w:p>
            <w:pPr>
              <w:jc w:val="center"/>
            </w:pPr>
            <w:r>
              <w:rPr>
                <w:rFonts w:ascii="Times New Roman" w:hAnsi="Times New Roman" w:eastAsia="黑体"/>
                <w:b/>
                <w:sz w:val="21"/>
              </w:rPr>
              <w:t>主要职责</w:t>
            </w:r>
          </w:p>
        </w:tc>
        <w:tc>
          <w:tcPr>
            <w:tcW w:type="dxa" w:w="3024"/>
            <w:vAlign w:val="center"/>
          </w:tcPr>
          <w:p>
            <w:pPr>
              <w:jc w:val="center"/>
            </w:pPr>
            <w:r>
              <w:rPr>
                <w:rFonts w:ascii="Times New Roman" w:hAnsi="Times New Roman" w:eastAsia="黑体"/>
                <w:b/>
                <w:sz w:val="21"/>
              </w:rPr>
              <w:t>需补充信息</w:t>
            </w:r>
          </w:p>
        </w:tc>
      </w:tr>
      <w:tr>
        <w:tc>
          <w:tcPr>
            <w:tcW w:type="dxa" w:w="3024"/>
            <w:vAlign w:val="center"/>
          </w:tcPr>
          <w:p>
            <w:r>
              <w:rPr>
                <w:rFonts w:ascii="Times New Roman" w:hAnsi="Times New Roman" w:eastAsia="宋体"/>
                <w:b w:val="0"/>
                <w:sz w:val="21"/>
              </w:rPr>
              <w:t>项目负责人</w:t>
            </w:r>
          </w:p>
        </w:tc>
        <w:tc>
          <w:tcPr>
            <w:tcW w:type="dxa" w:w="3024"/>
            <w:vAlign w:val="center"/>
          </w:tcPr>
          <w:p>
            <w:r>
              <w:rPr>
                <w:rFonts w:ascii="Times New Roman" w:hAnsi="Times New Roman" w:eastAsia="宋体"/>
                <w:b w:val="0"/>
                <w:sz w:val="21"/>
              </w:rPr>
              <w:t>统筹产品方向、比赛答辩、试点沟通和商业模式设计。</w:t>
            </w:r>
          </w:p>
        </w:tc>
        <w:tc>
          <w:tcPr>
            <w:tcW w:type="dxa" w:w="3024"/>
            <w:vAlign w:val="center"/>
          </w:tcPr>
          <w:p>
            <w:r>
              <w:rPr>
                <w:rFonts w:ascii="Times New Roman" w:hAnsi="Times New Roman" w:eastAsia="宋体"/>
                <w:b w:val="0"/>
                <w:sz w:val="21"/>
              </w:rPr>
              <w:t>姓名、专业、联系方式</w:t>
            </w:r>
          </w:p>
        </w:tc>
      </w:tr>
      <w:tr>
        <w:tc>
          <w:tcPr>
            <w:tcW w:type="dxa" w:w="3024"/>
            <w:vAlign w:val="center"/>
          </w:tcPr>
          <w:p>
            <w:r>
              <w:rPr>
                <w:rFonts w:ascii="Times New Roman" w:hAnsi="Times New Roman" w:eastAsia="宋体"/>
                <w:b w:val="0"/>
                <w:sz w:val="21"/>
              </w:rPr>
              <w:t>后端负责人</w:t>
            </w:r>
          </w:p>
        </w:tc>
        <w:tc>
          <w:tcPr>
            <w:tcW w:type="dxa" w:w="3024"/>
            <w:vAlign w:val="center"/>
          </w:tcPr>
          <w:p>
            <w:r>
              <w:rPr>
                <w:rFonts w:ascii="Times New Roman" w:hAnsi="Times New Roman" w:eastAsia="宋体"/>
                <w:b w:val="0"/>
                <w:sz w:val="21"/>
              </w:rPr>
              <w:t>负责 Spring Boot 服务、数据库、鉴权、上传和批改流程。</w:t>
            </w:r>
          </w:p>
        </w:tc>
        <w:tc>
          <w:tcPr>
            <w:tcW w:type="dxa" w:w="3024"/>
            <w:vAlign w:val="center"/>
          </w:tcPr>
          <w:p>
            <w:r>
              <w:rPr>
                <w:rFonts w:ascii="Times New Roman" w:hAnsi="Times New Roman" w:eastAsia="宋体"/>
                <w:b w:val="0"/>
                <w:sz w:val="21"/>
              </w:rPr>
              <w:t>姓名、技术特长</w:t>
            </w:r>
          </w:p>
        </w:tc>
      </w:tr>
      <w:tr>
        <w:tc>
          <w:tcPr>
            <w:tcW w:type="dxa" w:w="3024"/>
            <w:vAlign w:val="center"/>
          </w:tcPr>
          <w:p>
            <w:r>
              <w:rPr>
                <w:rFonts w:ascii="Times New Roman" w:hAnsi="Times New Roman" w:eastAsia="宋体"/>
                <w:b w:val="0"/>
                <w:sz w:val="21"/>
              </w:rPr>
              <w:t>前端负责人</w:t>
            </w:r>
          </w:p>
        </w:tc>
        <w:tc>
          <w:tcPr>
            <w:tcW w:type="dxa" w:w="3024"/>
            <w:vAlign w:val="center"/>
          </w:tcPr>
          <w:p>
            <w:r>
              <w:rPr>
                <w:rFonts w:ascii="Times New Roman" w:hAnsi="Times New Roman" w:eastAsia="宋体"/>
                <w:b w:val="0"/>
                <w:sz w:val="21"/>
              </w:rPr>
              <w:t>负责 uni-app 教师端、学生端和 Android 基座适配。</w:t>
            </w:r>
          </w:p>
        </w:tc>
        <w:tc>
          <w:tcPr>
            <w:tcW w:type="dxa" w:w="3024"/>
            <w:vAlign w:val="center"/>
          </w:tcPr>
          <w:p>
            <w:r>
              <w:rPr>
                <w:rFonts w:ascii="Times New Roman" w:hAnsi="Times New Roman" w:eastAsia="宋体"/>
                <w:b w:val="0"/>
                <w:sz w:val="21"/>
              </w:rPr>
              <w:t>姓名、技术特长</w:t>
            </w:r>
          </w:p>
        </w:tc>
      </w:tr>
      <w:tr>
        <w:tc>
          <w:tcPr>
            <w:tcW w:type="dxa" w:w="3024"/>
            <w:vAlign w:val="center"/>
          </w:tcPr>
          <w:p>
            <w:r>
              <w:rPr>
                <w:rFonts w:ascii="Times New Roman" w:hAnsi="Times New Roman" w:eastAsia="宋体"/>
                <w:b w:val="0"/>
                <w:sz w:val="21"/>
              </w:rPr>
              <w:t>AI 评测负责人</w:t>
            </w:r>
          </w:p>
        </w:tc>
        <w:tc>
          <w:tcPr>
            <w:tcW w:type="dxa" w:w="3024"/>
            <w:vAlign w:val="center"/>
          </w:tcPr>
          <w:p>
            <w:r>
              <w:rPr>
                <w:rFonts w:ascii="Times New Roman" w:hAnsi="Times New Roman" w:eastAsia="宋体"/>
                <w:b w:val="0"/>
                <w:sz w:val="21"/>
              </w:rPr>
              <w:t>负责作文和练习册提示词、批改质量评测、失败样例复盘。</w:t>
            </w:r>
          </w:p>
        </w:tc>
        <w:tc>
          <w:tcPr>
            <w:tcW w:type="dxa" w:w="3024"/>
            <w:vAlign w:val="center"/>
          </w:tcPr>
          <w:p>
            <w:r>
              <w:rPr>
                <w:rFonts w:ascii="Times New Roman" w:hAnsi="Times New Roman" w:eastAsia="宋体"/>
                <w:b w:val="0"/>
                <w:sz w:val="21"/>
              </w:rPr>
              <w:t>姓名、学科背景</w:t>
            </w:r>
          </w:p>
        </w:tc>
      </w:tr>
      <w:tr>
        <w:tc>
          <w:tcPr>
            <w:tcW w:type="dxa" w:w="3024"/>
            <w:vAlign w:val="center"/>
          </w:tcPr>
          <w:p>
            <w:r>
              <w:rPr>
                <w:rFonts w:ascii="Times New Roman" w:hAnsi="Times New Roman" w:eastAsia="宋体"/>
                <w:b w:val="0"/>
                <w:sz w:val="21"/>
              </w:rPr>
              <w:t>市场与教学试点负责人</w:t>
            </w:r>
          </w:p>
        </w:tc>
        <w:tc>
          <w:tcPr>
            <w:tcW w:type="dxa" w:w="3024"/>
            <w:vAlign w:val="center"/>
          </w:tcPr>
          <w:p>
            <w:r>
              <w:rPr>
                <w:rFonts w:ascii="Times New Roman" w:hAnsi="Times New Roman" w:eastAsia="宋体"/>
                <w:b w:val="0"/>
                <w:sz w:val="21"/>
              </w:rPr>
              <w:t>负责教师访谈、试用反馈、竞品分析和商业计划更新。</w:t>
            </w:r>
          </w:p>
        </w:tc>
        <w:tc>
          <w:tcPr>
            <w:tcW w:type="dxa" w:w="3024"/>
            <w:vAlign w:val="center"/>
          </w:tcPr>
          <w:p>
            <w:r>
              <w:rPr>
                <w:rFonts w:ascii="Times New Roman" w:hAnsi="Times New Roman" w:eastAsia="宋体"/>
                <w:b w:val="0"/>
                <w:sz w:val="21"/>
              </w:rPr>
              <w:t>姓名、资源渠道</w:t>
            </w:r>
          </w:p>
        </w:tc>
      </w:tr>
    </w:tbl>
    <w:p/>
    <w:p>
      <w:pPr>
        <w:spacing w:line="360" w:lineRule="auto" w:after="160" w:before="0"/>
        <w:jc w:val="left"/>
      </w:pPr>
      <w:r>
        <w:rPr>
          <w:rFonts w:ascii="Times New Roman" w:hAnsi="Times New Roman" w:eastAsia="黑体"/>
          <w:b/>
          <w:sz w:val="28"/>
        </w:rPr>
        <w:t>（二）团队优势</w:t>
      </w:r>
    </w:p>
    <w:p>
      <w:pPr>
        <w:spacing w:line="360" w:lineRule="auto" w:after="120" w:before="0"/>
        <w:ind w:firstLine="420"/>
      </w:pPr>
      <w:r>
        <w:rPr>
          <w:rFonts w:ascii="Times New Roman" w:hAnsi="Times New Roman" w:eastAsia="宋体"/>
          <w:b w:val="0"/>
          <w:sz w:val="21"/>
        </w:rPr>
        <w:t>团队优势在于已经完成可运行原型，而不是停留在概念阶段。系统具备教师账号、学生账号、作业发布、学生提交、AI 批改、教师查看统计、后台检测和服务器部署等真实链路，能够在答辩和试点中直接演示。与纯商业设想相比，项目更容易通过真实使用反馈验证产品假设，并快速迭代功能。</w:t>
      </w:r>
    </w:p>
    <w:p>
      <w:pPr>
        <w:spacing w:line="360" w:lineRule="auto" w:after="240" w:before="0"/>
        <w:jc w:val="center"/>
      </w:pPr>
      <w:r>
        <w:rPr>
          <w:rFonts w:ascii="Times New Roman" w:hAnsi="Times New Roman" w:eastAsia="黑体"/>
          <w:b/>
          <w:sz w:val="32"/>
        </w:rPr>
        <w:t>七、发展规划</w:t>
      </w:r>
    </w:p>
    <w:p>
      <w:pPr>
        <w:spacing w:line="360" w:lineRule="auto" w:after="160" w:before="0"/>
        <w:jc w:val="left"/>
      </w:pPr>
      <w:r>
        <w:rPr>
          <w:rFonts w:ascii="Times New Roman" w:hAnsi="Times New Roman" w:eastAsia="黑体"/>
          <w:b/>
          <w:sz w:val="28"/>
        </w:rPr>
        <w:t>（一）阶段目标</w:t>
      </w:r>
    </w:p>
    <w:p>
      <w:pPr>
        <w:spacing w:line="288" w:lineRule="auto" w:after="80" w:before="0"/>
        <w:jc w:val="center"/>
      </w:pPr>
      <w:r>
        <w:rPr>
          <w:rFonts w:ascii="Times New Roman" w:hAnsi="Times New Roman" w:eastAsia="黑体"/>
          <w:b/>
          <w:sz w:val="21"/>
        </w:rPr>
        <w:t>表 7-1 项目发展路线</w:t>
      </w:r>
    </w:p>
    <w:tbl>
      <w:tblPr>
        <w:tblStyle w:val="22"/>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eastAsia="黑体"/>
                <w:b/>
                <w:sz w:val="21"/>
              </w:rPr>
              <w:t>阶段</w:t>
            </w:r>
          </w:p>
        </w:tc>
        <w:tc>
          <w:tcPr>
            <w:tcW w:type="dxa" w:w="2268"/>
            <w:vAlign w:val="center"/>
          </w:tcPr>
          <w:p>
            <w:pPr>
              <w:jc w:val="center"/>
            </w:pPr>
            <w:r>
              <w:rPr>
                <w:rFonts w:ascii="Times New Roman" w:hAnsi="Times New Roman" w:eastAsia="黑体"/>
                <w:b/>
                <w:sz w:val="21"/>
              </w:rPr>
              <w:t>时间</w:t>
            </w:r>
          </w:p>
        </w:tc>
        <w:tc>
          <w:tcPr>
            <w:tcW w:type="dxa" w:w="2268"/>
            <w:vAlign w:val="center"/>
          </w:tcPr>
          <w:p>
            <w:pPr>
              <w:jc w:val="center"/>
            </w:pPr>
            <w:r>
              <w:rPr>
                <w:rFonts w:ascii="Times New Roman" w:hAnsi="Times New Roman" w:eastAsia="黑体"/>
                <w:b/>
                <w:sz w:val="21"/>
              </w:rPr>
              <w:t>核心任务</w:t>
            </w:r>
          </w:p>
        </w:tc>
        <w:tc>
          <w:tcPr>
            <w:tcW w:type="dxa" w:w="2268"/>
            <w:vAlign w:val="center"/>
          </w:tcPr>
          <w:p>
            <w:pPr>
              <w:jc w:val="center"/>
            </w:pPr>
            <w:r>
              <w:rPr>
                <w:rFonts w:ascii="Times New Roman" w:hAnsi="Times New Roman" w:eastAsia="黑体"/>
                <w:b/>
                <w:sz w:val="21"/>
              </w:rPr>
              <w:t>关键指标</w:t>
            </w:r>
          </w:p>
        </w:tc>
      </w:tr>
      <w:tr>
        <w:tc>
          <w:tcPr>
            <w:tcW w:type="dxa" w:w="2268"/>
            <w:vAlign w:val="center"/>
          </w:tcPr>
          <w:p>
            <w:r>
              <w:rPr>
                <w:rFonts w:ascii="Times New Roman" w:hAnsi="Times New Roman" w:eastAsia="宋体"/>
                <w:b w:val="0"/>
                <w:sz w:val="21"/>
              </w:rPr>
              <w:t>原型完善期</w:t>
            </w:r>
          </w:p>
        </w:tc>
        <w:tc>
          <w:tcPr>
            <w:tcW w:type="dxa" w:w="2268"/>
            <w:vAlign w:val="center"/>
          </w:tcPr>
          <w:p>
            <w:r>
              <w:rPr>
                <w:rFonts w:ascii="Times New Roman" w:hAnsi="Times New Roman" w:eastAsia="宋体"/>
                <w:b w:val="0"/>
                <w:sz w:val="21"/>
              </w:rPr>
              <w:t>0 至 1 个月</w:t>
            </w:r>
          </w:p>
        </w:tc>
        <w:tc>
          <w:tcPr>
            <w:tcW w:type="dxa" w:w="2268"/>
            <w:vAlign w:val="center"/>
          </w:tcPr>
          <w:p>
            <w:r>
              <w:rPr>
                <w:rFonts w:ascii="Times New Roman" w:hAnsi="Times New Roman" w:eastAsia="宋体"/>
                <w:b w:val="0"/>
                <w:sz w:val="21"/>
              </w:rPr>
              <w:t>稳定教师端、学生端、作文和练习册批改闭环，完善演示账号与后台检测。</w:t>
            </w:r>
          </w:p>
        </w:tc>
        <w:tc>
          <w:tcPr>
            <w:tcW w:type="dxa" w:w="2268"/>
            <w:vAlign w:val="center"/>
          </w:tcPr>
          <w:p>
            <w:r>
              <w:rPr>
                <w:rFonts w:ascii="Times New Roman" w:hAnsi="Times New Roman" w:eastAsia="宋体"/>
                <w:b w:val="0"/>
                <w:sz w:val="21"/>
              </w:rPr>
              <w:t>完成 3 个学科、2 类作业的可演示流程</w:t>
            </w:r>
          </w:p>
        </w:tc>
      </w:tr>
      <w:tr>
        <w:tc>
          <w:tcPr>
            <w:tcW w:type="dxa" w:w="2268"/>
            <w:vAlign w:val="center"/>
          </w:tcPr>
          <w:p>
            <w:r>
              <w:rPr>
                <w:rFonts w:ascii="Times New Roman" w:hAnsi="Times New Roman" w:eastAsia="宋体"/>
                <w:b w:val="0"/>
                <w:sz w:val="21"/>
              </w:rPr>
              <w:t>试点验证期</w:t>
            </w:r>
          </w:p>
        </w:tc>
        <w:tc>
          <w:tcPr>
            <w:tcW w:type="dxa" w:w="2268"/>
            <w:vAlign w:val="center"/>
          </w:tcPr>
          <w:p>
            <w:r>
              <w:rPr>
                <w:rFonts w:ascii="Times New Roman" w:hAnsi="Times New Roman" w:eastAsia="宋体"/>
                <w:b w:val="0"/>
                <w:sz w:val="21"/>
              </w:rPr>
              <w:t>1 至 3 个月</w:t>
            </w:r>
          </w:p>
        </w:tc>
        <w:tc>
          <w:tcPr>
            <w:tcW w:type="dxa" w:w="2268"/>
            <w:vAlign w:val="center"/>
          </w:tcPr>
          <w:p>
            <w:r>
              <w:rPr>
                <w:rFonts w:ascii="Times New Roman" w:hAnsi="Times New Roman" w:eastAsia="宋体"/>
                <w:b w:val="0"/>
                <w:sz w:val="21"/>
              </w:rPr>
              <w:t>邀请 5 至 10 位真实教师使用，收集批改准确率和体验反馈。</w:t>
            </w:r>
          </w:p>
        </w:tc>
        <w:tc>
          <w:tcPr>
            <w:tcW w:type="dxa" w:w="2268"/>
            <w:vAlign w:val="center"/>
          </w:tcPr>
          <w:p>
            <w:r>
              <w:rPr>
                <w:rFonts w:ascii="Times New Roman" w:hAnsi="Times New Roman" w:eastAsia="宋体"/>
                <w:b w:val="0"/>
                <w:sz w:val="21"/>
              </w:rPr>
              <w:t>周留存、批改满意度、失败率</w:t>
            </w:r>
          </w:p>
        </w:tc>
      </w:tr>
      <w:tr>
        <w:tc>
          <w:tcPr>
            <w:tcW w:type="dxa" w:w="2268"/>
            <w:vAlign w:val="center"/>
          </w:tcPr>
          <w:p>
            <w:r>
              <w:rPr>
                <w:rFonts w:ascii="Times New Roman" w:hAnsi="Times New Roman" w:eastAsia="宋体"/>
                <w:b w:val="0"/>
                <w:sz w:val="21"/>
              </w:rPr>
              <w:t>收费启动期</w:t>
            </w:r>
          </w:p>
        </w:tc>
        <w:tc>
          <w:tcPr>
            <w:tcW w:type="dxa" w:w="2268"/>
            <w:vAlign w:val="center"/>
          </w:tcPr>
          <w:p>
            <w:r>
              <w:rPr>
                <w:rFonts w:ascii="Times New Roman" w:hAnsi="Times New Roman" w:eastAsia="宋体"/>
                <w:b w:val="0"/>
                <w:sz w:val="21"/>
              </w:rPr>
              <w:t>3 至 6 个月</w:t>
            </w:r>
          </w:p>
        </w:tc>
        <w:tc>
          <w:tcPr>
            <w:tcW w:type="dxa" w:w="2268"/>
            <w:vAlign w:val="center"/>
          </w:tcPr>
          <w:p>
            <w:r>
              <w:rPr>
                <w:rFonts w:ascii="Times New Roman" w:hAnsi="Times New Roman" w:eastAsia="宋体"/>
                <w:b w:val="0"/>
                <w:sz w:val="21"/>
              </w:rPr>
              <w:t>上线云端版本、额度体系、支付能力和基础客服流程。</w:t>
            </w:r>
          </w:p>
        </w:tc>
        <w:tc>
          <w:tcPr>
            <w:tcW w:type="dxa" w:w="2268"/>
            <w:vAlign w:val="center"/>
          </w:tcPr>
          <w:p>
            <w:r>
              <w:rPr>
                <w:rFonts w:ascii="Times New Roman" w:hAnsi="Times New Roman" w:eastAsia="宋体"/>
                <w:b w:val="0"/>
                <w:sz w:val="21"/>
              </w:rPr>
              <w:t>获得首批付费教师和复购记录</w:t>
            </w:r>
          </w:p>
        </w:tc>
      </w:tr>
      <w:tr>
        <w:tc>
          <w:tcPr>
            <w:tcW w:type="dxa" w:w="2268"/>
            <w:vAlign w:val="center"/>
          </w:tcPr>
          <w:p>
            <w:r>
              <w:rPr>
                <w:rFonts w:ascii="Times New Roman" w:hAnsi="Times New Roman" w:eastAsia="宋体"/>
                <w:b w:val="0"/>
                <w:sz w:val="21"/>
              </w:rPr>
              <w:t>增长扩展期</w:t>
            </w:r>
          </w:p>
        </w:tc>
        <w:tc>
          <w:tcPr>
            <w:tcW w:type="dxa" w:w="2268"/>
            <w:vAlign w:val="center"/>
          </w:tcPr>
          <w:p>
            <w:r>
              <w:rPr>
                <w:rFonts w:ascii="Times New Roman" w:hAnsi="Times New Roman" w:eastAsia="宋体"/>
                <w:b w:val="0"/>
                <w:sz w:val="21"/>
              </w:rPr>
              <w:t>6 至 12 个月</w:t>
            </w:r>
          </w:p>
        </w:tc>
        <w:tc>
          <w:tcPr>
            <w:tcW w:type="dxa" w:w="2268"/>
            <w:vAlign w:val="center"/>
          </w:tcPr>
          <w:p>
            <w:r>
              <w:rPr>
                <w:rFonts w:ascii="Times New Roman" w:hAnsi="Times New Roman" w:eastAsia="宋体"/>
                <w:b w:val="0"/>
                <w:sz w:val="21"/>
              </w:rPr>
              <w:t>强化练习册题型、统计导出、教研组共享和学校版管理。</w:t>
            </w:r>
          </w:p>
        </w:tc>
        <w:tc>
          <w:tcPr>
            <w:tcW w:type="dxa" w:w="2268"/>
            <w:vAlign w:val="center"/>
          </w:tcPr>
          <w:p>
            <w:r>
              <w:rPr>
                <w:rFonts w:ascii="Times New Roman" w:hAnsi="Times New Roman" w:eastAsia="宋体"/>
                <w:b w:val="0"/>
                <w:sz w:val="21"/>
              </w:rPr>
              <w:t>形成教研组试点和渠道合作</w:t>
            </w:r>
          </w:p>
        </w:tc>
      </w:tr>
      <w:tr>
        <w:tc>
          <w:tcPr>
            <w:tcW w:type="dxa" w:w="2268"/>
            <w:vAlign w:val="center"/>
          </w:tcPr>
          <w:p>
            <w:r>
              <w:rPr>
                <w:rFonts w:ascii="Times New Roman" w:hAnsi="Times New Roman" w:eastAsia="宋体"/>
                <w:b w:val="0"/>
                <w:sz w:val="21"/>
              </w:rPr>
              <w:t>规模化运营期</w:t>
            </w:r>
          </w:p>
        </w:tc>
        <w:tc>
          <w:tcPr>
            <w:tcW w:type="dxa" w:w="2268"/>
            <w:vAlign w:val="center"/>
          </w:tcPr>
          <w:p>
            <w:r>
              <w:rPr>
                <w:rFonts w:ascii="Times New Roman" w:hAnsi="Times New Roman" w:eastAsia="宋体"/>
                <w:b w:val="0"/>
                <w:sz w:val="21"/>
              </w:rPr>
              <w:t>12 个月后</w:t>
            </w:r>
          </w:p>
        </w:tc>
        <w:tc>
          <w:tcPr>
            <w:tcW w:type="dxa" w:w="2268"/>
            <w:vAlign w:val="center"/>
          </w:tcPr>
          <w:p>
            <w:r>
              <w:rPr>
                <w:rFonts w:ascii="Times New Roman" w:hAnsi="Times New Roman" w:eastAsia="宋体"/>
                <w:b w:val="0"/>
                <w:sz w:val="21"/>
              </w:rPr>
              <w:t>建设更完善的数据安全、隐私合规、模型评测和私有化部署能力。</w:t>
            </w:r>
          </w:p>
        </w:tc>
        <w:tc>
          <w:tcPr>
            <w:tcW w:type="dxa" w:w="2268"/>
            <w:vAlign w:val="center"/>
          </w:tcPr>
          <w:p>
            <w:r>
              <w:rPr>
                <w:rFonts w:ascii="Times New Roman" w:hAnsi="Times New Roman" w:eastAsia="宋体"/>
                <w:b w:val="0"/>
                <w:sz w:val="21"/>
              </w:rPr>
              <w:t>学校级采购与长期服务合同</w:t>
            </w:r>
          </w:p>
        </w:tc>
      </w:tr>
    </w:tbl>
    <w:p/>
    <w:p>
      <w:pPr>
        <w:spacing w:line="360" w:lineRule="auto" w:after="160" w:before="0"/>
        <w:jc w:val="left"/>
      </w:pPr>
      <w:r>
        <w:rPr>
          <w:rFonts w:ascii="Times New Roman" w:hAnsi="Times New Roman" w:eastAsia="黑体"/>
          <w:b/>
          <w:sz w:val="28"/>
        </w:rPr>
        <w:t>（二）风险与应对</w:t>
      </w:r>
    </w:p>
    <w:p>
      <w:pPr>
        <w:spacing w:line="288" w:lineRule="auto" w:after="80" w:before="0"/>
        <w:jc w:val="center"/>
      </w:pPr>
      <w:r>
        <w:rPr>
          <w:rFonts w:ascii="Times New Roman" w:hAnsi="Times New Roman" w:eastAsia="黑体"/>
          <w:b/>
          <w:sz w:val="21"/>
        </w:rPr>
        <w:t>表 7-2 风险应对</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风险</w:t>
            </w:r>
          </w:p>
        </w:tc>
        <w:tc>
          <w:tcPr>
            <w:tcW w:type="dxa" w:w="3024"/>
            <w:vAlign w:val="center"/>
          </w:tcPr>
          <w:p>
            <w:pPr>
              <w:jc w:val="center"/>
            </w:pPr>
            <w:r>
              <w:rPr>
                <w:rFonts w:ascii="Times New Roman" w:hAnsi="Times New Roman" w:eastAsia="黑体"/>
                <w:b/>
                <w:sz w:val="21"/>
              </w:rPr>
              <w:t>表现</w:t>
            </w:r>
          </w:p>
        </w:tc>
        <w:tc>
          <w:tcPr>
            <w:tcW w:type="dxa" w:w="3024"/>
            <w:vAlign w:val="center"/>
          </w:tcPr>
          <w:p>
            <w:pPr>
              <w:jc w:val="center"/>
            </w:pPr>
            <w:r>
              <w:rPr>
                <w:rFonts w:ascii="Times New Roman" w:hAnsi="Times New Roman" w:eastAsia="黑体"/>
                <w:b/>
                <w:sz w:val="21"/>
              </w:rPr>
              <w:t>应对措施</w:t>
            </w:r>
          </w:p>
        </w:tc>
      </w:tr>
      <w:tr>
        <w:tc>
          <w:tcPr>
            <w:tcW w:type="dxa" w:w="3024"/>
            <w:vAlign w:val="center"/>
          </w:tcPr>
          <w:p>
            <w:r>
              <w:rPr>
                <w:rFonts w:ascii="Times New Roman" w:hAnsi="Times New Roman" w:eastAsia="宋体"/>
                <w:b w:val="0"/>
                <w:sz w:val="21"/>
              </w:rPr>
              <w:t>批改准确率不足</w:t>
            </w:r>
          </w:p>
        </w:tc>
        <w:tc>
          <w:tcPr>
            <w:tcW w:type="dxa" w:w="3024"/>
            <w:vAlign w:val="center"/>
          </w:tcPr>
          <w:p>
            <w:r>
              <w:rPr>
                <w:rFonts w:ascii="Times New Roman" w:hAnsi="Times New Roman" w:eastAsia="宋体"/>
                <w:b w:val="0"/>
                <w:sz w:val="21"/>
              </w:rPr>
              <w:t>复杂手写体、拍照模糊、多题混排导致识别错误。</w:t>
            </w:r>
          </w:p>
        </w:tc>
        <w:tc>
          <w:tcPr>
            <w:tcW w:type="dxa" w:w="3024"/>
            <w:vAlign w:val="center"/>
          </w:tcPr>
          <w:p>
            <w:r>
              <w:rPr>
                <w:rFonts w:ascii="Times New Roman" w:hAnsi="Times New Roman" w:eastAsia="宋体"/>
                <w:b w:val="0"/>
                <w:sz w:val="21"/>
              </w:rPr>
              <w:t>建立失败样例库，优化拍照提示、答案页解析和教师复核机制。</w:t>
            </w:r>
          </w:p>
        </w:tc>
      </w:tr>
      <w:tr>
        <w:tc>
          <w:tcPr>
            <w:tcW w:type="dxa" w:w="3024"/>
            <w:vAlign w:val="center"/>
          </w:tcPr>
          <w:p>
            <w:r>
              <w:rPr>
                <w:rFonts w:ascii="Times New Roman" w:hAnsi="Times New Roman" w:eastAsia="宋体"/>
                <w:b w:val="0"/>
                <w:sz w:val="21"/>
              </w:rPr>
              <w:t>教育数据安全风险</w:t>
            </w:r>
          </w:p>
        </w:tc>
        <w:tc>
          <w:tcPr>
            <w:tcW w:type="dxa" w:w="3024"/>
            <w:vAlign w:val="center"/>
          </w:tcPr>
          <w:p>
            <w:r>
              <w:rPr>
                <w:rFonts w:ascii="Times New Roman" w:hAnsi="Times New Roman" w:eastAsia="宋体"/>
                <w:b w:val="0"/>
                <w:sz w:val="21"/>
              </w:rPr>
              <w:t>学生作业图片、姓名、成绩涉及隐私。</w:t>
            </w:r>
          </w:p>
        </w:tc>
        <w:tc>
          <w:tcPr>
            <w:tcW w:type="dxa" w:w="3024"/>
            <w:vAlign w:val="center"/>
          </w:tcPr>
          <w:p>
            <w:r>
              <w:rPr>
                <w:rFonts w:ascii="Times New Roman" w:hAnsi="Times New Roman" w:eastAsia="宋体"/>
                <w:b w:val="0"/>
                <w:sz w:val="21"/>
              </w:rPr>
              <w:t>上线前补充脱敏、鉴权、私有存储、访问审计和密钥管理。</w:t>
            </w:r>
          </w:p>
        </w:tc>
      </w:tr>
      <w:tr>
        <w:tc>
          <w:tcPr>
            <w:tcW w:type="dxa" w:w="3024"/>
            <w:vAlign w:val="center"/>
          </w:tcPr>
          <w:p>
            <w:r>
              <w:rPr>
                <w:rFonts w:ascii="Times New Roman" w:hAnsi="Times New Roman" w:eastAsia="宋体"/>
                <w:b w:val="0"/>
                <w:sz w:val="21"/>
              </w:rPr>
              <w:t>获客周期较长</w:t>
            </w:r>
          </w:p>
        </w:tc>
        <w:tc>
          <w:tcPr>
            <w:tcW w:type="dxa" w:w="3024"/>
            <w:vAlign w:val="center"/>
          </w:tcPr>
          <w:p>
            <w:r>
              <w:rPr>
                <w:rFonts w:ascii="Times New Roman" w:hAnsi="Times New Roman" w:eastAsia="宋体"/>
                <w:b w:val="0"/>
                <w:sz w:val="21"/>
              </w:rPr>
              <w:t>学校采购流程慢，个人教师付费习惯需培养。</w:t>
            </w:r>
          </w:p>
        </w:tc>
        <w:tc>
          <w:tcPr>
            <w:tcW w:type="dxa" w:w="3024"/>
            <w:vAlign w:val="center"/>
          </w:tcPr>
          <w:p>
            <w:r>
              <w:rPr>
                <w:rFonts w:ascii="Times New Roman" w:hAnsi="Times New Roman" w:eastAsia="宋体"/>
                <w:b w:val="0"/>
                <w:sz w:val="21"/>
              </w:rPr>
              <w:t>先做个人教师和教研组试点，用低价订阅与案例传播降低门槛。</w:t>
            </w:r>
          </w:p>
        </w:tc>
      </w:tr>
      <w:tr>
        <w:tc>
          <w:tcPr>
            <w:tcW w:type="dxa" w:w="3024"/>
            <w:vAlign w:val="center"/>
          </w:tcPr>
          <w:p>
            <w:r>
              <w:rPr>
                <w:rFonts w:ascii="Times New Roman" w:hAnsi="Times New Roman" w:eastAsia="宋体"/>
                <w:b w:val="0"/>
                <w:sz w:val="21"/>
              </w:rPr>
              <w:t>API 成本波动</w:t>
            </w:r>
          </w:p>
        </w:tc>
        <w:tc>
          <w:tcPr>
            <w:tcW w:type="dxa" w:w="3024"/>
            <w:vAlign w:val="center"/>
          </w:tcPr>
          <w:p>
            <w:r>
              <w:rPr>
                <w:rFonts w:ascii="Times New Roman" w:hAnsi="Times New Roman" w:eastAsia="宋体"/>
                <w:b w:val="0"/>
                <w:sz w:val="21"/>
              </w:rPr>
              <w:t>模型调用量增加后成本不可控。</w:t>
            </w:r>
          </w:p>
        </w:tc>
        <w:tc>
          <w:tcPr>
            <w:tcW w:type="dxa" w:w="3024"/>
            <w:vAlign w:val="center"/>
          </w:tcPr>
          <w:p>
            <w:r>
              <w:rPr>
                <w:rFonts w:ascii="Times New Roman" w:hAnsi="Times New Roman" w:eastAsia="宋体"/>
                <w:b w:val="0"/>
                <w:sz w:val="21"/>
              </w:rPr>
              <w:t>引入额度体系、缓存复用、模型分层调用和成本监控。</w:t>
            </w:r>
          </w:p>
        </w:tc>
      </w:tr>
    </w:tbl>
    <w:p/>
    <w:p>
      <w:pPr>
        <w:spacing w:line="360" w:lineRule="auto" w:after="240" w:before="0"/>
        <w:jc w:val="center"/>
      </w:pPr>
      <w:r>
        <w:rPr>
          <w:rFonts w:ascii="Times New Roman" w:hAnsi="Times New Roman" w:eastAsia="黑体"/>
          <w:b/>
          <w:sz w:val="32"/>
        </w:rPr>
        <w:t>八、教育实效</w:t>
      </w:r>
    </w:p>
    <w:p>
      <w:pPr>
        <w:spacing w:line="360" w:lineRule="auto" w:after="160" w:before="0"/>
        <w:jc w:val="left"/>
      </w:pPr>
      <w:r>
        <w:rPr>
          <w:rFonts w:ascii="Times New Roman" w:hAnsi="Times New Roman" w:eastAsia="黑体"/>
          <w:b/>
          <w:sz w:val="28"/>
        </w:rPr>
        <w:t>（一）对教师教学的促进</w:t>
      </w:r>
    </w:p>
    <w:p>
      <w:pPr>
        <w:spacing w:line="360" w:lineRule="auto" w:after="120" w:before="0"/>
        <w:ind w:firstLine="420"/>
      </w:pPr>
      <w:r>
        <w:rPr>
          <w:rFonts w:ascii="Times New Roman" w:hAnsi="Times New Roman" w:eastAsia="宋体"/>
          <w:b w:val="0"/>
          <w:sz w:val="21"/>
        </w:rPr>
        <w:t>智阅教育能把教师从重复性批改中释放出来，使其把更多时间投入作业设计、课堂讲评和个别辅导。系统统计提交人数、未交人数、批改中人数、平均分和知识点薄弱项，帮助教师快速判断本次作业的共性问题，形成“布置—提交—批改—分析—讲评”的闭环。</w:t>
      </w:r>
    </w:p>
    <w:p>
      <w:pPr>
        <w:spacing w:line="360" w:lineRule="auto" w:after="160" w:before="0"/>
        <w:jc w:val="left"/>
      </w:pPr>
      <w:r>
        <w:rPr>
          <w:rFonts w:ascii="Times New Roman" w:hAnsi="Times New Roman" w:eastAsia="黑体"/>
          <w:b/>
          <w:sz w:val="28"/>
        </w:rPr>
        <w:t>（二）对学生学习的促进</w:t>
      </w:r>
    </w:p>
    <w:p>
      <w:pPr>
        <w:spacing w:line="360" w:lineRule="auto" w:after="120" w:before="0"/>
        <w:ind w:firstLine="420"/>
      </w:pPr>
      <w:r>
        <w:rPr>
          <w:rFonts w:ascii="Times New Roman" w:hAnsi="Times New Roman" w:eastAsia="宋体"/>
          <w:b w:val="0"/>
          <w:sz w:val="21"/>
        </w:rPr>
        <w:t>学生端让学生能够更快看到批改结果和反馈，不必等待教师集中返还纸质作业。练习册逐题结果能够指出具体错题、得分和相关知识点，帮助学生从“知道错了”进一步走向“知道错在哪里”。在教师复核机制下，AI 反馈与教师判断相结合，有利于提升反馈的及时性与可信度。</w:t>
      </w:r>
    </w:p>
    <w:p>
      <w:pPr>
        <w:spacing w:line="360" w:lineRule="auto" w:after="160" w:before="0"/>
        <w:jc w:val="left"/>
      </w:pPr>
      <w:r>
        <w:rPr>
          <w:rFonts w:ascii="Times New Roman" w:hAnsi="Times New Roman" w:eastAsia="黑体"/>
          <w:b/>
          <w:sz w:val="28"/>
        </w:rPr>
        <w:t>（三）对创新创业教育的促进</w:t>
      </w:r>
    </w:p>
    <w:p>
      <w:pPr>
        <w:spacing w:line="360" w:lineRule="auto" w:after="120" w:before="0"/>
        <w:ind w:firstLine="420"/>
      </w:pPr>
      <w:r>
        <w:rPr>
          <w:rFonts w:ascii="Times New Roman" w:hAnsi="Times New Roman" w:eastAsia="宋体"/>
          <w:b w:val="0"/>
          <w:sz w:val="21"/>
        </w:rPr>
        <w:t>本项目将人工智能、软件工程、教育场景和商业验证结合起来，体现了以真实问题驱动创新创业训练的特点。团队不仅完成技术系统，还围绕用户痛点、定价模型、竞品差异、试点路径和风险治理进行商业设计，具备从课程项目成长为校园试点产品的实践价值。</w:t>
      </w:r>
    </w:p>
    <w:p>
      <w:pPr>
        <w:spacing w:line="360" w:lineRule="auto" w:after="240" w:before="0"/>
        <w:jc w:val="center"/>
      </w:pPr>
      <w:r>
        <w:rPr>
          <w:rFonts w:ascii="Times New Roman" w:hAnsi="Times New Roman" w:eastAsia="黑体"/>
          <w:b/>
          <w:sz w:val="32"/>
        </w:rPr>
        <w:t>九、社会价值</w:t>
      </w:r>
    </w:p>
    <w:p>
      <w:pPr>
        <w:spacing w:line="360" w:lineRule="auto" w:after="160" w:before="0"/>
        <w:jc w:val="left"/>
      </w:pPr>
      <w:r>
        <w:rPr>
          <w:rFonts w:ascii="Times New Roman" w:hAnsi="Times New Roman" w:eastAsia="黑体"/>
          <w:b/>
          <w:sz w:val="28"/>
        </w:rPr>
        <w:t>（一）促进教师减负与教学质量提升</w:t>
      </w:r>
    </w:p>
    <w:p>
      <w:pPr>
        <w:spacing w:line="360" w:lineRule="auto" w:after="120" w:before="0"/>
        <w:ind w:firstLine="420"/>
      </w:pPr>
      <w:r>
        <w:rPr>
          <w:rFonts w:ascii="Times New Roman" w:hAnsi="Times New Roman" w:eastAsia="宋体"/>
          <w:b w:val="0"/>
          <w:sz w:val="21"/>
        </w:rPr>
        <w:t>作业批改是教师工作中高频、刚性且耗时的环节。智阅教育通过 AI 初评和学生自提交机制减少重复劳动，使教师能够把精力用于更具创造性的教学活动。对学校而言，系统化统计也有助于发现班级共性问题，提升作业讲评和教学改进的针对性。</w:t>
      </w:r>
    </w:p>
    <w:p>
      <w:pPr>
        <w:spacing w:line="360" w:lineRule="auto" w:after="160" w:before="0"/>
        <w:jc w:val="left"/>
      </w:pPr>
      <w:r>
        <w:rPr>
          <w:rFonts w:ascii="Times New Roman" w:hAnsi="Times New Roman" w:eastAsia="黑体"/>
          <w:b/>
          <w:sz w:val="28"/>
        </w:rPr>
        <w:t>（二）推动教育数字化公平应用</w:t>
      </w:r>
    </w:p>
    <w:p>
      <w:pPr>
        <w:spacing w:line="360" w:lineRule="auto" w:after="120" w:before="0"/>
        <w:ind w:firstLine="420"/>
      </w:pPr>
      <w:r>
        <w:rPr>
          <w:rFonts w:ascii="Times New Roman" w:hAnsi="Times New Roman" w:eastAsia="宋体"/>
          <w:b w:val="0"/>
          <w:sz w:val="21"/>
        </w:rPr>
        <w:t>项目以手机拍照和轻量 Web/移动端为入口，不要求学校先建设复杂硬件或完整题库，适合资源一般的学校和普通教师低成本尝试教育数字化。若后续形成区域化或学校版服务，可通过统一部署、低价套餐和教师培训降低数字工具使用门槛，让更多教师和学生享受到智能反馈带来的效率提升。</w:t>
      </w:r>
    </w:p>
    <w:p>
      <w:pPr>
        <w:spacing w:line="360" w:lineRule="auto" w:after="160" w:before="0"/>
        <w:jc w:val="left"/>
      </w:pPr>
      <w:r>
        <w:rPr>
          <w:rFonts w:ascii="Times New Roman" w:hAnsi="Times New Roman" w:eastAsia="黑体"/>
          <w:b/>
          <w:sz w:val="28"/>
        </w:rPr>
        <w:t>（三）形成可持续创新创业样本</w:t>
      </w:r>
    </w:p>
    <w:p>
      <w:pPr>
        <w:spacing w:line="360" w:lineRule="auto" w:after="120" w:before="0"/>
        <w:ind w:firstLine="420"/>
      </w:pPr>
      <w:r>
        <w:rPr>
          <w:rFonts w:ascii="Times New Roman" w:hAnsi="Times New Roman" w:eastAsia="宋体"/>
          <w:b w:val="0"/>
          <w:sz w:val="21"/>
        </w:rPr>
        <w:t>智阅教育的商业价值不只在于软件收费，也在于探索“AI + 教育”从演示系统走向真实课堂的路径。项目坚持从个人教师的小需求出发，先验证批改质量、节省时间和续费意愿，再逐步扩展到教研组和学校版本，符合低成本试错、持续迭代和可持续经营的创新创业逻辑。</w:t>
      </w:r>
    </w:p>
    <w:p>
      <w:pPr>
        <w:spacing w:line="360" w:lineRule="auto" w:after="240" w:before="0"/>
        <w:jc w:val="center"/>
      </w:pPr>
      <w:r>
        <w:rPr>
          <w:rFonts w:ascii="Times New Roman" w:hAnsi="Times New Roman" w:eastAsia="黑体"/>
          <w:b/>
          <w:sz w:val="32"/>
        </w:rPr>
        <w:t>十、附录</w:t>
      </w:r>
    </w:p>
    <w:p>
      <w:pPr>
        <w:spacing w:line="360" w:lineRule="auto" w:after="160" w:before="0"/>
        <w:jc w:val="left"/>
      </w:pPr>
      <w:r>
        <w:rPr>
          <w:rFonts w:ascii="Times New Roman" w:hAnsi="Times New Roman" w:eastAsia="黑体"/>
          <w:b/>
          <w:sz w:val="28"/>
        </w:rPr>
        <w:t>（一）关键指标设计</w:t>
      </w:r>
    </w:p>
    <w:p>
      <w:pPr>
        <w:spacing w:line="288" w:lineRule="auto" w:after="80" w:before="0"/>
        <w:jc w:val="center"/>
      </w:pPr>
      <w:r>
        <w:rPr>
          <w:rFonts w:ascii="Times New Roman" w:hAnsi="Times New Roman" w:eastAsia="黑体"/>
          <w:b/>
          <w:sz w:val="21"/>
        </w:rPr>
        <w:t>表 10-1 后续试点应重点跟踪的指标</w:t>
      </w:r>
    </w:p>
    <w:tbl>
      <w:tblPr>
        <w:tblStyle w:val="22"/>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黑体"/>
                <w:b/>
                <w:sz w:val="21"/>
              </w:rPr>
              <w:t>指标类别</w:t>
            </w:r>
          </w:p>
        </w:tc>
        <w:tc>
          <w:tcPr>
            <w:tcW w:type="dxa" w:w="3024"/>
            <w:vAlign w:val="center"/>
          </w:tcPr>
          <w:p>
            <w:pPr>
              <w:jc w:val="center"/>
            </w:pPr>
            <w:r>
              <w:rPr>
                <w:rFonts w:ascii="Times New Roman" w:hAnsi="Times New Roman" w:eastAsia="黑体"/>
                <w:b/>
                <w:sz w:val="21"/>
              </w:rPr>
              <w:t>指标名称</w:t>
            </w:r>
          </w:p>
        </w:tc>
        <w:tc>
          <w:tcPr>
            <w:tcW w:type="dxa" w:w="3024"/>
            <w:vAlign w:val="center"/>
          </w:tcPr>
          <w:p>
            <w:pPr>
              <w:jc w:val="center"/>
            </w:pPr>
            <w:r>
              <w:rPr>
                <w:rFonts w:ascii="Times New Roman" w:hAnsi="Times New Roman" w:eastAsia="黑体"/>
                <w:b/>
                <w:sz w:val="21"/>
              </w:rPr>
              <w:t>意义</w:t>
            </w:r>
          </w:p>
        </w:tc>
      </w:tr>
      <w:tr>
        <w:tc>
          <w:tcPr>
            <w:tcW w:type="dxa" w:w="3024"/>
            <w:vAlign w:val="center"/>
          </w:tcPr>
          <w:p>
            <w:r>
              <w:rPr>
                <w:rFonts w:ascii="Times New Roman" w:hAnsi="Times New Roman" w:eastAsia="宋体"/>
                <w:b w:val="0"/>
                <w:sz w:val="21"/>
              </w:rPr>
              <w:t>使用活跃</w:t>
            </w:r>
          </w:p>
        </w:tc>
        <w:tc>
          <w:tcPr>
            <w:tcW w:type="dxa" w:w="3024"/>
            <w:vAlign w:val="center"/>
          </w:tcPr>
          <w:p>
            <w:r>
              <w:rPr>
                <w:rFonts w:ascii="Times New Roman" w:hAnsi="Times New Roman" w:eastAsia="宋体"/>
                <w:b w:val="0"/>
                <w:sz w:val="21"/>
              </w:rPr>
              <w:t>周活教师数、月均批改次数、学生提交率</w:t>
            </w:r>
          </w:p>
        </w:tc>
        <w:tc>
          <w:tcPr>
            <w:tcW w:type="dxa" w:w="3024"/>
            <w:vAlign w:val="center"/>
          </w:tcPr>
          <w:p>
            <w:r>
              <w:rPr>
                <w:rFonts w:ascii="Times New Roman" w:hAnsi="Times New Roman" w:eastAsia="宋体"/>
                <w:b w:val="0"/>
                <w:sz w:val="21"/>
              </w:rPr>
              <w:t>判断产品是否融入真实教学流程。</w:t>
            </w:r>
          </w:p>
        </w:tc>
      </w:tr>
      <w:tr>
        <w:tc>
          <w:tcPr>
            <w:tcW w:type="dxa" w:w="3024"/>
            <w:vAlign w:val="center"/>
          </w:tcPr>
          <w:p>
            <w:r>
              <w:rPr>
                <w:rFonts w:ascii="Times New Roman" w:hAnsi="Times New Roman" w:eastAsia="宋体"/>
                <w:b w:val="0"/>
                <w:sz w:val="21"/>
              </w:rPr>
              <w:t>批改质量</w:t>
            </w:r>
          </w:p>
        </w:tc>
        <w:tc>
          <w:tcPr>
            <w:tcW w:type="dxa" w:w="3024"/>
            <w:vAlign w:val="center"/>
          </w:tcPr>
          <w:p>
            <w:r>
              <w:rPr>
                <w:rFonts w:ascii="Times New Roman" w:hAnsi="Times New Roman" w:eastAsia="宋体"/>
                <w:b w:val="0"/>
                <w:sz w:val="21"/>
              </w:rPr>
              <w:t>教师修改分差、重批率、失败率、满意度</w:t>
            </w:r>
          </w:p>
        </w:tc>
        <w:tc>
          <w:tcPr>
            <w:tcW w:type="dxa" w:w="3024"/>
            <w:vAlign w:val="center"/>
          </w:tcPr>
          <w:p>
            <w:r>
              <w:rPr>
                <w:rFonts w:ascii="Times New Roman" w:hAnsi="Times New Roman" w:eastAsia="宋体"/>
                <w:b w:val="0"/>
                <w:sz w:val="21"/>
              </w:rPr>
              <w:t>判断 AI 结果是否达到可用水平。</w:t>
            </w:r>
          </w:p>
        </w:tc>
      </w:tr>
      <w:tr>
        <w:tc>
          <w:tcPr>
            <w:tcW w:type="dxa" w:w="3024"/>
            <w:vAlign w:val="center"/>
          </w:tcPr>
          <w:p>
            <w:r>
              <w:rPr>
                <w:rFonts w:ascii="Times New Roman" w:hAnsi="Times New Roman" w:eastAsia="宋体"/>
                <w:b w:val="0"/>
                <w:sz w:val="21"/>
              </w:rPr>
              <w:t>商业转化</w:t>
            </w:r>
          </w:p>
        </w:tc>
        <w:tc>
          <w:tcPr>
            <w:tcW w:type="dxa" w:w="3024"/>
            <w:vAlign w:val="center"/>
          </w:tcPr>
          <w:p>
            <w:r>
              <w:rPr>
                <w:rFonts w:ascii="Times New Roman" w:hAnsi="Times New Roman" w:eastAsia="宋体"/>
                <w:b w:val="0"/>
                <w:sz w:val="21"/>
              </w:rPr>
              <w:t>试用转付费率、续费率、客单价、获客成本</w:t>
            </w:r>
          </w:p>
        </w:tc>
        <w:tc>
          <w:tcPr>
            <w:tcW w:type="dxa" w:w="3024"/>
            <w:vAlign w:val="center"/>
          </w:tcPr>
          <w:p>
            <w:r>
              <w:rPr>
                <w:rFonts w:ascii="Times New Roman" w:hAnsi="Times New Roman" w:eastAsia="宋体"/>
                <w:b w:val="0"/>
                <w:sz w:val="21"/>
              </w:rPr>
              <w:t>判断商业模式是否成立。</w:t>
            </w:r>
          </w:p>
        </w:tc>
      </w:tr>
      <w:tr>
        <w:tc>
          <w:tcPr>
            <w:tcW w:type="dxa" w:w="3024"/>
            <w:vAlign w:val="center"/>
          </w:tcPr>
          <w:p>
            <w:r>
              <w:rPr>
                <w:rFonts w:ascii="Times New Roman" w:hAnsi="Times New Roman" w:eastAsia="宋体"/>
                <w:b w:val="0"/>
                <w:sz w:val="21"/>
              </w:rPr>
              <w:t>教学价值</w:t>
            </w:r>
          </w:p>
        </w:tc>
        <w:tc>
          <w:tcPr>
            <w:tcW w:type="dxa" w:w="3024"/>
            <w:vAlign w:val="center"/>
          </w:tcPr>
          <w:p>
            <w:r>
              <w:rPr>
                <w:rFonts w:ascii="Times New Roman" w:hAnsi="Times New Roman" w:eastAsia="宋体"/>
                <w:b w:val="0"/>
                <w:sz w:val="21"/>
              </w:rPr>
              <w:t>平均反馈时长、薄弱知识点命中率、讲评使用次数</w:t>
            </w:r>
          </w:p>
        </w:tc>
        <w:tc>
          <w:tcPr>
            <w:tcW w:type="dxa" w:w="3024"/>
            <w:vAlign w:val="center"/>
          </w:tcPr>
          <w:p>
            <w:r>
              <w:rPr>
                <w:rFonts w:ascii="Times New Roman" w:hAnsi="Times New Roman" w:eastAsia="宋体"/>
                <w:b w:val="0"/>
                <w:sz w:val="21"/>
              </w:rPr>
              <w:t>判断产品是否真正提升教学效率。</w:t>
            </w:r>
          </w:p>
        </w:tc>
      </w:tr>
    </w:tbl>
    <w:p/>
    <w:p>
      <w:pPr>
        <w:spacing w:line="360" w:lineRule="auto" w:before="0" w:after="160"/>
        <w:jc w:val="left"/>
      </w:pPr>
      <w:r>
        <w:rPr>
          <w:rFonts w:ascii="Times New Roman" w:hAnsi="Times New Roman" w:eastAsia="黑体"/>
          <w:b/>
          <w:sz w:val="28"/>
        </w:rPr>
        <w:t>（二）安卓 App 运行截图占位</w:t>
      </w:r>
    </w:p>
    <w:p>
      <w:pPr>
        <w:spacing w:line="288" w:lineRule="auto" w:before="0" w:after="160"/>
        <w:jc w:val="left"/>
      </w:pPr>
      <w:r>
        <w:rPr>
          <w:rFonts w:ascii="Times New Roman" w:hAnsi="Times New Roman" w:eastAsia="宋体"/>
          <w:b w:val="0"/>
          <w:sz w:val="18"/>
        </w:rPr>
        <w:t>说明：以下表格用于预留 Android 基座运行截图位置。后续截图时建议统一使用同一台手机或模拟器比例，优先展示真实登录、作业创建、学生提交、批改中、结果页和统计页，保证评委能快速看到产品闭环。</w:t>
      </w:r>
    </w:p>
    <w:p>
      <w:pPr>
        <w:spacing w:line="288" w:lineRule="auto" w:before="0" w:after="80"/>
        <w:jc w:val="center"/>
      </w:pPr>
      <w:r>
        <w:rPr>
          <w:rFonts w:ascii="Times New Roman" w:hAnsi="Times New Roman" w:eastAsia="黑体"/>
          <w:b/>
          <w:sz w:val="21"/>
        </w:rPr>
        <w:t>表 10-2 安卓 App 运行截图占位表</w:t>
      </w:r>
    </w:p>
    <w:tbl>
      <w:tblPr>
        <w:tblStyle w:val="22"/>
        <w:tblW w:type="auto" w:w="0"/>
        <w:jc w:val="center"/>
        <w:tblLook w:firstColumn="1" w:firstRow="1" w:lastColumn="0" w:lastRow="0" w:noHBand="0" w:noVBand="1" w:val="04A0"/>
      </w:tblPr>
      <w:tblGrid>
        <w:gridCol w:w="4536"/>
        <w:gridCol w:w="4536"/>
      </w:tblGrid>
      <w:tr>
        <w:trPr>
          <w:trHeight w:val="3855" w:hRule="atLeast"/>
        </w:trPr>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10-1 教师端登录页</w:t>
              <w:br/>
            </w:r>
            <w:r>
              <w:rPr>
                <w:rFonts w:ascii="Times New Roman" w:hAnsi="Times New Roman" w:eastAsia="宋体"/>
                <w:b w:val="0"/>
                <w:sz w:val="18"/>
              </w:rPr>
              <w:t>展示账号密码登录入口，页面不出现服务器地址输入栏。</w:t>
              <w:br/>
              <w:br/>
            </w:r>
            <w:r>
              <w:rPr>
                <w:rFonts w:ascii="Times New Roman" w:hAnsi="Times New Roman" w:eastAsia="宋体"/>
                <w:b w:val="0"/>
                <w:sz w:val="18"/>
              </w:rPr>
              <w:t>后续将截图粘贴到本格内，并保留图题编号。</w:t>
            </w:r>
          </w:p>
        </w:tc>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10-2 教师端首页/作业看板</w:t>
              <w:br/>
            </w:r>
            <w:r>
              <w:rPr>
                <w:rFonts w:ascii="Times New Roman" w:hAnsi="Times New Roman" w:eastAsia="宋体"/>
                <w:b w:val="0"/>
                <w:sz w:val="18"/>
              </w:rPr>
              <w:t>展示作业概览、额度或快捷入口，体现教师端主工作台。</w:t>
              <w:br/>
              <w:br/>
            </w:r>
            <w:r>
              <w:rPr>
                <w:rFonts w:ascii="Times New Roman" w:hAnsi="Times New Roman" w:eastAsia="宋体"/>
                <w:b w:val="0"/>
                <w:sz w:val="18"/>
              </w:rPr>
              <w:t>后续将截图粘贴到本格内，并保留图题编号。</w:t>
            </w:r>
          </w:p>
        </w:tc>
      </w:tr>
      <w:tr>
        <w:trPr>
          <w:trHeight w:val="3855" w:hRule="atLeast"/>
        </w:trPr>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10-3 教师创建练习册作业</w:t>
              <w:br/>
            </w:r>
            <w:r>
              <w:rPr>
                <w:rFonts w:ascii="Times New Roman" w:hAnsi="Times New Roman" w:eastAsia="宋体"/>
                <w:b w:val="0"/>
                <w:sz w:val="18"/>
              </w:rPr>
              <w:t>展示作文/练习册切换、班级、题号范围、答案页上传。</w:t>
              <w:br/>
              <w:br/>
            </w:r>
            <w:r>
              <w:rPr>
                <w:rFonts w:ascii="Times New Roman" w:hAnsi="Times New Roman" w:eastAsia="宋体"/>
                <w:b w:val="0"/>
                <w:sz w:val="18"/>
              </w:rPr>
              <w:t>后续将截图粘贴到本格内，并保留图题编号。</w:t>
            </w:r>
          </w:p>
        </w:tc>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10-4 教师端作业详情</w:t>
              <w:br/>
            </w:r>
            <w:r>
              <w:rPr>
                <w:rFonts w:ascii="Times New Roman" w:hAnsi="Times New Roman" w:eastAsia="宋体"/>
                <w:b w:val="0"/>
                <w:sz w:val="18"/>
              </w:rPr>
              <w:t>展示学生提交状态、未提交、批改中转圈提示和老师代上传入口。</w:t>
              <w:br/>
              <w:br/>
            </w:r>
            <w:r>
              <w:rPr>
                <w:rFonts w:ascii="Times New Roman" w:hAnsi="Times New Roman" w:eastAsia="宋体"/>
                <w:b w:val="0"/>
                <w:sz w:val="18"/>
              </w:rPr>
              <w:t>后续将截图粘贴到本格内，并保留图题编号。</w:t>
            </w:r>
          </w:p>
        </w:tc>
      </w:tr>
      <w:tr>
        <w:trPr>
          <w:trHeight w:val="3855" w:hRule="atLeast"/>
        </w:trPr>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10-5 学生端作业列表</w:t>
              <w:br/>
            </w:r>
            <w:r>
              <w:rPr>
                <w:rFonts w:ascii="Times New Roman" w:hAnsi="Times New Roman" w:eastAsia="宋体"/>
                <w:b w:val="0"/>
                <w:sz w:val="18"/>
              </w:rPr>
              <w:t>展示学生账号登录后按所属班级自动接收作业。</w:t>
              <w:br/>
              <w:br/>
            </w:r>
            <w:r>
              <w:rPr>
                <w:rFonts w:ascii="Times New Roman" w:hAnsi="Times New Roman" w:eastAsia="宋体"/>
                <w:b w:val="0"/>
                <w:sz w:val="18"/>
              </w:rPr>
              <w:t>后续将截图粘贴到本格内，并保留图题编号。</w:t>
            </w:r>
          </w:p>
        </w:tc>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10-6 学生端多页作业上传</w:t>
              <w:br/>
            </w:r>
            <w:r>
              <w:rPr>
                <w:rFonts w:ascii="Times New Roman" w:hAnsi="Times New Roman" w:eastAsia="宋体"/>
                <w:b w:val="0"/>
                <w:sz w:val="18"/>
              </w:rPr>
              <w:t>展示练习册多图选择、上传确认和提交按钮。</w:t>
              <w:br/>
              <w:br/>
            </w:r>
            <w:r>
              <w:rPr>
                <w:rFonts w:ascii="Times New Roman" w:hAnsi="Times New Roman" w:eastAsia="宋体"/>
                <w:b w:val="0"/>
                <w:sz w:val="18"/>
              </w:rPr>
              <w:t>后续将截图粘贴到本格内，并保留图题编号。</w:t>
            </w:r>
          </w:p>
        </w:tc>
      </w:tr>
      <w:tr>
        <w:trPr>
          <w:trHeight w:val="3855" w:hRule="atLeast"/>
        </w:trPr>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10-7 学生端批改中页面</w:t>
              <w:br/>
            </w:r>
            <w:r>
              <w:rPr>
                <w:rFonts w:ascii="Times New Roman" w:hAnsi="Times New Roman" w:eastAsia="宋体"/>
                <w:b w:val="0"/>
                <w:sz w:val="18"/>
              </w:rPr>
              <w:t>展示进度轮询、正在批改状态和等待反馈。</w:t>
              <w:br/>
              <w:br/>
            </w:r>
            <w:r>
              <w:rPr>
                <w:rFonts w:ascii="Times New Roman" w:hAnsi="Times New Roman" w:eastAsia="宋体"/>
                <w:b w:val="0"/>
                <w:sz w:val="18"/>
              </w:rPr>
              <w:t>后续将截图粘贴到本格内，并保留图题编号。</w:t>
            </w:r>
          </w:p>
        </w:tc>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10-8 学生端批改结果</w:t>
              <w:br/>
            </w:r>
            <w:r>
              <w:rPr>
                <w:rFonts w:ascii="Times New Roman" w:hAnsi="Times New Roman" w:eastAsia="宋体"/>
                <w:b w:val="0"/>
                <w:sz w:val="18"/>
              </w:rPr>
              <w:t>展示总分、逐题得分、知识点、简短反馈。</w:t>
              <w:br/>
              <w:br/>
            </w:r>
            <w:r>
              <w:rPr>
                <w:rFonts w:ascii="Times New Roman" w:hAnsi="Times New Roman" w:eastAsia="宋体"/>
                <w:b w:val="0"/>
                <w:sz w:val="18"/>
              </w:rPr>
              <w:t>后续将截图粘贴到本格内，并保留图题编号。</w:t>
            </w:r>
          </w:p>
        </w:tc>
      </w:tr>
      <w:tr>
        <w:trPr>
          <w:trHeight w:val="3855" w:hRule="atLeast"/>
        </w:trPr>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10-9 教师端作业统计页</w:t>
              <w:br/>
            </w:r>
            <w:r>
              <w:rPr>
                <w:rFonts w:ascii="Times New Roman" w:hAnsi="Times New Roman" w:eastAsia="宋体"/>
                <w:b w:val="0"/>
                <w:sz w:val="18"/>
              </w:rPr>
              <w:t>展示提交人数、未交人数、批改中人数、平均分、薄弱知识点。</w:t>
              <w:br/>
              <w:br/>
            </w:r>
            <w:r>
              <w:rPr>
                <w:rFonts w:ascii="Times New Roman" w:hAnsi="Times New Roman" w:eastAsia="宋体"/>
                <w:b w:val="0"/>
                <w:sz w:val="18"/>
              </w:rPr>
              <w:t>后续将截图粘贴到本格内，并保留图题编号。</w:t>
            </w:r>
          </w:p>
        </w:tc>
        <w:tc>
          <w:tcPr>
            <w:tcW w:type="dxa" w:w="4365"/>
            <w:vAlign w:val="center"/>
            <w:shd w:fill="F2F2F2"/>
          </w:tcPr>
          <w:p>
            <w:pPr>
              <w:spacing w:line="288" w:lineRule="auto" w:after="0"/>
              <w:jc w:val="center"/>
            </w:pPr>
            <w:r>
              <w:rPr>
                <w:rFonts w:ascii="Times New Roman" w:hAnsi="Times New Roman" w:eastAsia="黑体"/>
                <w:b/>
                <w:sz w:val="21"/>
              </w:rPr>
              <w:t>【安卓 App 运行截图占位】</w:t>
              <w:br/>
            </w:r>
            <w:r>
              <w:rPr>
                <w:rFonts w:ascii="Times New Roman" w:hAnsi="Times New Roman" w:eastAsia="宋体"/>
                <w:b/>
                <w:sz w:val="21"/>
              </w:rPr>
              <w:t>图 10-10 后台检测页</w:t>
              <w:br/>
            </w:r>
            <w:r>
              <w:rPr>
                <w:rFonts w:ascii="Times New Roman" w:hAnsi="Times New Roman" w:eastAsia="宋体"/>
                <w:b w:val="0"/>
                <w:sz w:val="18"/>
              </w:rPr>
              <w:t>展示 AI/OCR 配置、候选 IP、上传目录和服务状态。</w:t>
              <w:br/>
              <w:br/>
            </w:r>
            <w:r>
              <w:rPr>
                <w:rFonts w:ascii="Times New Roman" w:hAnsi="Times New Roman" w:eastAsia="宋体"/>
                <w:b w:val="0"/>
                <w:sz w:val="18"/>
              </w:rPr>
              <w:t>后续将截图粘贴到本格内，并保留图题编号。</w:t>
            </w:r>
          </w:p>
        </w:tc>
      </w:tr>
    </w:tbl>
    <w:p>
      <w:pPr>
        <w:spacing w:line="360" w:lineRule="auto" w:after="160" w:before="0"/>
        <w:jc w:val="left"/>
      </w:pPr>
      <w:r>
        <w:rPr>
          <w:rFonts w:ascii="Times New Roman" w:hAnsi="Times New Roman" w:eastAsia="黑体"/>
          <w:b/>
          <w:sz w:val="28"/>
        </w:rPr>
        <w:t>（三）参考文献</w:t>
      </w:r>
    </w:p>
    <w:p>
      <w:pPr>
        <w:spacing w:line="360" w:lineRule="auto" w:after="80" w:before="0"/>
      </w:pPr>
      <w:r>
        <w:rPr>
          <w:rFonts w:ascii="Times New Roman" w:hAnsi="Times New Roman" w:eastAsia="宋体"/>
          <w:b w:val="0"/>
          <w:sz w:val="21"/>
        </w:rPr>
        <w:t>[1] 中华人民共和国教育部. 2023年全国教育事业发展统计公报[EB/OL]. 2024-10-24. https://hudong.moe.gov.cn/jyb_sjzl/sjzl_fztjgb/202410/t20241024_1159002.html</w:t>
      </w:r>
    </w:p>
    <w:p>
      <w:pPr>
        <w:spacing w:line="360" w:lineRule="auto" w:after="80" w:before="0"/>
      </w:pPr>
      <w:r>
        <w:rPr>
          <w:rFonts w:ascii="Times New Roman" w:hAnsi="Times New Roman" w:eastAsia="宋体"/>
          <w:b w:val="0"/>
          <w:sz w:val="21"/>
        </w:rPr>
        <w:t>[2] 中华人民共和国教育部. 教育部举行国家智慧教育平台启动仪式[EB/OL]. 2022-03-28. https://www.moe.gov.cn/jyb_xwfb/gzdt_gzdt/moe_1485/202203/t20220328_611461.html</w:t>
      </w:r>
    </w:p>
    <w:p>
      <w:pPr>
        <w:spacing w:line="360" w:lineRule="auto" w:after="80" w:before="0"/>
      </w:pPr>
      <w:r>
        <w:rPr>
          <w:rFonts w:ascii="Times New Roman" w:hAnsi="Times New Roman" w:eastAsia="宋体"/>
          <w:b w:val="0"/>
          <w:sz w:val="21"/>
        </w:rPr>
        <w:t>[3] 中共中央办公厅, 国务院办公厅. 关于进一步减轻义务教育阶段学生作业负担和校外培训负担的意见[EB/OL]. 2021-07-24. https://www.moe.gov.cn/jyb_xwfb/gzdt_gzdt/s5987/202107/t20210724_546566.html</w:t>
      </w:r>
    </w:p>
    <w:p>
      <w:pPr>
        <w:spacing w:line="360" w:lineRule="auto" w:after="80" w:before="0"/>
      </w:pPr>
      <w:r>
        <w:rPr>
          <w:rFonts w:ascii="Times New Roman" w:hAnsi="Times New Roman" w:eastAsia="宋体"/>
          <w:b w:val="0"/>
          <w:sz w:val="21"/>
        </w:rPr>
        <w:t>[4] 中华人民共和国教育部科学技术与信息化司. 一年来推进教育数字化总体情况[EB/OL]. 2023-02-09. https://www.moe.gov.cn/jyb_xwfb/xw_fbh/moe_2606/2023/cfh_0209/cailiao/202302/t20230209_1043125.html</w:t>
      </w:r>
    </w:p>
    <w:p>
      <w:pPr>
        <w:spacing w:line="360" w:lineRule="auto" w:after="80" w:before="0"/>
      </w:pPr>
      <w:r>
        <w:rPr>
          <w:rFonts w:ascii="Times New Roman" w:hAnsi="Times New Roman" w:eastAsia="宋体"/>
          <w:b w:val="0"/>
          <w:sz w:val="21"/>
        </w:rPr>
        <w:t>[5] 智阅教育项目团队. 项目需求分析、原型系统与商业价值分析资料[Z]. 2026.</w:t>
      </w:r>
    </w:p>
    <w:sectPr>
      <w:footerReference w:type="default" r:id="rId11"/>
      <w:pgSz w:w="11906" w:h="16838"/>
      <w:pgMar w:top="1417" w:right="1417" w:bottom="1417" w:left="141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altName w:val="宋体"/>
    <w:panose1 w:val="02010600030101010101"/>
    <w:charset w:val="86"/>
    <w:family w:val="auto"/>
    <w:pitch w:val="default"/>
    <w:sig w:usb0="00000000" w:usb1="00000000" w:usb2="00000016" w:usb3="00000000" w:csb0="0004000F" w:csb1="00000000"/>
  </w:font>
  <w:font w:name="等线">
    <w:altName w:val="微软雅黑"/>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1"/>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1" o:spid="_x0000_s1026" o:spt="1"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C3DmKMAwIAAPYDAAAOAAAAZHJzL2Uyb0RvYy54bWytU8FuEzEQvSPx&#10;D5bvZLOlodUqm6pqFIRUoFLhAxyvN2ux9lhjJ7vhA+APOHHpne/KdzD2bgItlx64WOPx+Pm9N+P5&#10;VW9atlPoNdiS55MpZ8pKqLTdlPzzp9WrS858ELYSLVhV8r3y/Grx8sW8c4U6gwbaSiEjEOuLzpW8&#10;CcEVWeZlo4zwE3DK0mENaESgLW6yCkVH6KbNzqbTN1kHWDkEqbyn7HI45CMiPgcQ6lpLtQS5NcqG&#10;ARVVKwJJ8o12ni8S27pWMnysa68Ca0tOSkNa6RGK13HNFnNRbFC4RsuRgngOhSeajNCWHj1BLUUQ&#10;bIv6HyijJYKHOkwkmGwQkhwhFfn0iTf3jXAqaSGrvTuZ7v8frPywu0Omq5LPOLPCUMMPP74ffv46&#10;PHzLozud8wUV3bs7jPq8uwX5xTMLN42wG3WNCF2jREWcUn326ELceLrK1t17qAhcbAMko/oaTQQk&#10;C1if+rE/9UP1gUlKzi4uLomWpJP8dX5+PouEMlEc7zr04a0Cw2JQcqRuJ2yxu/VhKD2WxKcsrHTb&#10;po639lGCMGMmcY90B9mhX/ejA2uo9qQCYRgg+j4UNIBfOetoeEpu6a9w1r6z5EOcs2OAx2B9DISV&#10;dLHkgbMhvAnDPG4d6k1DuHkS4d01ebXSSUj0ceAwsqRxSFaMoxvn7e99qvrzXR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UWP1bRAAAAAgEAAA8AAAAAAAAAAQAgAAAAIgAAAGRycy9kb3ducmV2&#10;LnhtbFBLAQIUABQAAAAIAIdO4kC3DmKMAwIAAPYDAAAOAAAAAAAAAAEAIAAAACABAABkcnMvZTJv&#10;RG9jLnhtbFBLBQYAAAAABgAGAFkBAACV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rect>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PAGE</w:instrText>
      <w:fldChar w:fldCharType="separate"/>
      <w:t>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Y1ZGZiYzI1NmMwMDI5MzI3MDQyYTcyOTFlMzg0MWYifQ=="/>
  </w:docVars>
  <w:rsids>
    <w:rsidRoot w:val="00172A27"/>
    <w:rsid w:val="000052FB"/>
    <w:rsid w:val="0003271B"/>
    <w:rsid w:val="0003775E"/>
    <w:rsid w:val="000507BC"/>
    <w:rsid w:val="000608F3"/>
    <w:rsid w:val="00073301"/>
    <w:rsid w:val="000805D3"/>
    <w:rsid w:val="0008510F"/>
    <w:rsid w:val="00093683"/>
    <w:rsid w:val="000A22FC"/>
    <w:rsid w:val="000C4CC9"/>
    <w:rsid w:val="000E01FA"/>
    <w:rsid w:val="00102695"/>
    <w:rsid w:val="001561B2"/>
    <w:rsid w:val="00172A27"/>
    <w:rsid w:val="001A058E"/>
    <w:rsid w:val="001E5408"/>
    <w:rsid w:val="001F6BBB"/>
    <w:rsid w:val="0020675C"/>
    <w:rsid w:val="0020789D"/>
    <w:rsid w:val="00220297"/>
    <w:rsid w:val="0026345E"/>
    <w:rsid w:val="00294EDB"/>
    <w:rsid w:val="002A5081"/>
    <w:rsid w:val="002D29C9"/>
    <w:rsid w:val="002D3C61"/>
    <w:rsid w:val="002E2FA4"/>
    <w:rsid w:val="002F675E"/>
    <w:rsid w:val="00302E76"/>
    <w:rsid w:val="00303C1D"/>
    <w:rsid w:val="003350CF"/>
    <w:rsid w:val="003353E2"/>
    <w:rsid w:val="00344693"/>
    <w:rsid w:val="0035035E"/>
    <w:rsid w:val="00370BCE"/>
    <w:rsid w:val="003A7C4D"/>
    <w:rsid w:val="0040758B"/>
    <w:rsid w:val="00413692"/>
    <w:rsid w:val="00417BC5"/>
    <w:rsid w:val="0043512A"/>
    <w:rsid w:val="0047521C"/>
    <w:rsid w:val="0047765E"/>
    <w:rsid w:val="0049469B"/>
    <w:rsid w:val="004D0B3E"/>
    <w:rsid w:val="004E19E1"/>
    <w:rsid w:val="004E5B2C"/>
    <w:rsid w:val="004F1F32"/>
    <w:rsid w:val="005029DD"/>
    <w:rsid w:val="00521AA0"/>
    <w:rsid w:val="00577C5B"/>
    <w:rsid w:val="00577FD1"/>
    <w:rsid w:val="0058070B"/>
    <w:rsid w:val="005B499D"/>
    <w:rsid w:val="005D1CA7"/>
    <w:rsid w:val="005D7391"/>
    <w:rsid w:val="00604F9D"/>
    <w:rsid w:val="006170B5"/>
    <w:rsid w:val="0063560A"/>
    <w:rsid w:val="00663D41"/>
    <w:rsid w:val="006B1F36"/>
    <w:rsid w:val="006C09BF"/>
    <w:rsid w:val="006D246F"/>
    <w:rsid w:val="006E0FA7"/>
    <w:rsid w:val="006F5045"/>
    <w:rsid w:val="00702ABD"/>
    <w:rsid w:val="007119EA"/>
    <w:rsid w:val="007148A1"/>
    <w:rsid w:val="00742BC2"/>
    <w:rsid w:val="007C1C25"/>
    <w:rsid w:val="007C4BBB"/>
    <w:rsid w:val="007D476A"/>
    <w:rsid w:val="007F3049"/>
    <w:rsid w:val="00810793"/>
    <w:rsid w:val="00847507"/>
    <w:rsid w:val="00871010"/>
    <w:rsid w:val="00875951"/>
    <w:rsid w:val="008A20B8"/>
    <w:rsid w:val="008C341E"/>
    <w:rsid w:val="008C6208"/>
    <w:rsid w:val="008F6DF2"/>
    <w:rsid w:val="00912B4B"/>
    <w:rsid w:val="0092641A"/>
    <w:rsid w:val="00933028"/>
    <w:rsid w:val="00940B95"/>
    <w:rsid w:val="00951666"/>
    <w:rsid w:val="009765C4"/>
    <w:rsid w:val="00981611"/>
    <w:rsid w:val="009859F9"/>
    <w:rsid w:val="00986188"/>
    <w:rsid w:val="009872D4"/>
    <w:rsid w:val="009A4AB2"/>
    <w:rsid w:val="009A73CF"/>
    <w:rsid w:val="009B3EC9"/>
    <w:rsid w:val="009C0A45"/>
    <w:rsid w:val="009E7690"/>
    <w:rsid w:val="00A064E4"/>
    <w:rsid w:val="00A1415E"/>
    <w:rsid w:val="00A16548"/>
    <w:rsid w:val="00A16CDC"/>
    <w:rsid w:val="00A3745A"/>
    <w:rsid w:val="00A95181"/>
    <w:rsid w:val="00AB4EDA"/>
    <w:rsid w:val="00AC2B32"/>
    <w:rsid w:val="00AE1466"/>
    <w:rsid w:val="00AF541D"/>
    <w:rsid w:val="00AF7952"/>
    <w:rsid w:val="00B404C4"/>
    <w:rsid w:val="00B44B27"/>
    <w:rsid w:val="00B44FCD"/>
    <w:rsid w:val="00B90C44"/>
    <w:rsid w:val="00BB0DF3"/>
    <w:rsid w:val="00BD094C"/>
    <w:rsid w:val="00C227D0"/>
    <w:rsid w:val="00C42B71"/>
    <w:rsid w:val="00C61D86"/>
    <w:rsid w:val="00C8609A"/>
    <w:rsid w:val="00CC5B35"/>
    <w:rsid w:val="00CD67DC"/>
    <w:rsid w:val="00CF1D1D"/>
    <w:rsid w:val="00CF4B73"/>
    <w:rsid w:val="00D13E5B"/>
    <w:rsid w:val="00D176E7"/>
    <w:rsid w:val="00D401BB"/>
    <w:rsid w:val="00D43718"/>
    <w:rsid w:val="00DB26D0"/>
    <w:rsid w:val="00DD46E7"/>
    <w:rsid w:val="00E1333A"/>
    <w:rsid w:val="00E23F0C"/>
    <w:rsid w:val="00E3730A"/>
    <w:rsid w:val="00E55CCD"/>
    <w:rsid w:val="00E80930"/>
    <w:rsid w:val="00E81F86"/>
    <w:rsid w:val="00E86EE5"/>
    <w:rsid w:val="00E87265"/>
    <w:rsid w:val="00E9008B"/>
    <w:rsid w:val="00EC0D5F"/>
    <w:rsid w:val="00EC2571"/>
    <w:rsid w:val="00EE6B7A"/>
    <w:rsid w:val="00EE752B"/>
    <w:rsid w:val="00F006CC"/>
    <w:rsid w:val="00F07FFB"/>
    <w:rsid w:val="00F43A23"/>
    <w:rsid w:val="00F51308"/>
    <w:rsid w:val="00FC45E1"/>
    <w:rsid w:val="00FD4E65"/>
    <w:rsid w:val="00FD6A39"/>
    <w:rsid w:val="00FE0DB1"/>
    <w:rsid w:val="01310C74"/>
    <w:rsid w:val="0A5B08B2"/>
    <w:rsid w:val="0AB4509C"/>
    <w:rsid w:val="0AF841D5"/>
    <w:rsid w:val="11DD37F5"/>
    <w:rsid w:val="12DE5A77"/>
    <w:rsid w:val="12FE11BE"/>
    <w:rsid w:val="135E31A5"/>
    <w:rsid w:val="14373691"/>
    <w:rsid w:val="15AA5A95"/>
    <w:rsid w:val="1BD121BE"/>
    <w:rsid w:val="1DB25B36"/>
    <w:rsid w:val="1DC9798D"/>
    <w:rsid w:val="1EFA3582"/>
    <w:rsid w:val="1FA92F69"/>
    <w:rsid w:val="21893052"/>
    <w:rsid w:val="22614371"/>
    <w:rsid w:val="2A3F341C"/>
    <w:rsid w:val="2AED4651"/>
    <w:rsid w:val="2D710933"/>
    <w:rsid w:val="30684CB1"/>
    <w:rsid w:val="308B46F0"/>
    <w:rsid w:val="35B446E9"/>
    <w:rsid w:val="377E111B"/>
    <w:rsid w:val="389E342F"/>
    <w:rsid w:val="390D66F3"/>
    <w:rsid w:val="3D923ADD"/>
    <w:rsid w:val="413C37E5"/>
    <w:rsid w:val="44242A3A"/>
    <w:rsid w:val="4F54340A"/>
    <w:rsid w:val="4F6208BA"/>
    <w:rsid w:val="4FC825A3"/>
    <w:rsid w:val="50F712FB"/>
    <w:rsid w:val="524F5EB6"/>
    <w:rsid w:val="53F561A1"/>
    <w:rsid w:val="58C46142"/>
    <w:rsid w:val="5B9825E8"/>
    <w:rsid w:val="5D7A5897"/>
    <w:rsid w:val="62255EA3"/>
    <w:rsid w:val="623B56C7"/>
    <w:rsid w:val="645835D9"/>
    <w:rsid w:val="67F00D02"/>
    <w:rsid w:val="69043521"/>
    <w:rsid w:val="6A6A1392"/>
    <w:rsid w:val="6E486C25"/>
    <w:rsid w:val="6E641B01"/>
    <w:rsid w:val="715B3690"/>
    <w:rsid w:val="71AB670D"/>
    <w:rsid w:val="72592BE6"/>
    <w:rsid w:val="7375030D"/>
    <w:rsid w:val="74CD4653"/>
    <w:rsid w:val="7B1037C8"/>
    <w:rsid w:val="7D2C0D5C"/>
    <w:rsid w:val="7D7D2A90"/>
    <w:rsid w:val="7E0150C3"/>
    <w:rsid w:val="7E25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iPriority="61"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autoRedefine/>
    <w:unhideWhenUsed/>
    <w:qFormat/>
    <w:uiPriority w:val="9"/>
    <w:pPr>
      <w:keepNext/>
      <w:keepLines/>
      <w:widowControl/>
      <w:spacing w:before="260" w:after="260" w:line="415" w:lineRule="auto"/>
      <w:jc w:val="left"/>
      <w:outlineLvl w:val="1"/>
    </w:pPr>
    <w:rPr>
      <w:rFonts w:ascii="Arial" w:hAnsi="Arial" w:eastAsia="黑体"/>
      <w:b/>
      <w:bCs/>
      <w:sz w:val="32"/>
      <w:szCs w:val="32"/>
    </w:rPr>
  </w:style>
  <w:style w:type="paragraph" w:styleId="4">
    <w:name w:val="heading 3"/>
    <w:basedOn w:val="1"/>
    <w:next w:val="1"/>
    <w:link w:val="46"/>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autoRedefine/>
    <w:unhideWhenUsed/>
    <w:qFormat/>
    <w:uiPriority w:val="9"/>
    <w:pPr>
      <w:keepNext/>
      <w:keepLines/>
      <w:spacing w:before="280" w:beforeLines="100" w:after="290" w:line="376" w:lineRule="auto"/>
      <w:outlineLvl w:val="3"/>
    </w:pPr>
    <w:rPr>
      <w:rFonts w:eastAsia="黑体" w:asciiTheme="majorHAnsi" w:hAnsiTheme="majorHAnsi" w:cstheme="majorBidi"/>
      <w:b/>
      <w:bCs/>
      <w:sz w:val="28"/>
      <w:szCs w:val="28"/>
    </w:rPr>
  </w:style>
  <w:style w:type="character" w:default="1" w:styleId="24">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050"/>
      <w:jc w:val="left"/>
    </w:pPr>
    <w:rPr>
      <w:rFonts w:asciiTheme="minorHAnsi" w:eastAsiaTheme="minorHAnsi"/>
      <w:sz w:val="20"/>
      <w:szCs w:val="20"/>
    </w:rPr>
  </w:style>
  <w:style w:type="paragraph" w:styleId="7">
    <w:name w:val="caption"/>
    <w:basedOn w:val="1"/>
    <w:next w:val="1"/>
    <w:autoRedefine/>
    <w:unhideWhenUsed/>
    <w:qFormat/>
    <w:uiPriority w:val="35"/>
    <w:pPr>
      <w:spacing w:line="360" w:lineRule="auto"/>
      <w:ind w:firstLine="200" w:firstLineChars="200"/>
    </w:pPr>
    <w:rPr>
      <w:rFonts w:eastAsia="黑体" w:asciiTheme="majorHAnsi" w:hAnsiTheme="majorHAnsi" w:cstheme="majorBidi"/>
      <w:sz w:val="20"/>
      <w:szCs w:val="20"/>
    </w:rPr>
  </w:style>
  <w:style w:type="paragraph" w:styleId="8">
    <w:name w:val="toc 5"/>
    <w:basedOn w:val="1"/>
    <w:next w:val="1"/>
    <w:autoRedefine/>
    <w:unhideWhenUsed/>
    <w:qFormat/>
    <w:uiPriority w:val="39"/>
    <w:pPr>
      <w:ind w:left="630"/>
      <w:jc w:val="left"/>
    </w:pPr>
    <w:rPr>
      <w:rFonts w:asciiTheme="minorHAnsi" w:eastAsiaTheme="minorHAnsi"/>
      <w:sz w:val="20"/>
      <w:szCs w:val="20"/>
    </w:rPr>
  </w:style>
  <w:style w:type="paragraph" w:styleId="9">
    <w:name w:val="toc 3"/>
    <w:basedOn w:val="1"/>
    <w:next w:val="1"/>
    <w:autoRedefine/>
    <w:unhideWhenUsed/>
    <w:qFormat/>
    <w:uiPriority w:val="39"/>
    <w:pPr>
      <w:ind w:left="210"/>
      <w:jc w:val="left"/>
    </w:pPr>
    <w:rPr>
      <w:rFonts w:asciiTheme="minorHAnsi" w:eastAsiaTheme="minorHAnsi"/>
      <w:sz w:val="20"/>
      <w:szCs w:val="20"/>
    </w:rPr>
  </w:style>
  <w:style w:type="paragraph" w:styleId="10">
    <w:name w:val="Plain Text"/>
    <w:basedOn w:val="1"/>
    <w:link w:val="32"/>
    <w:autoRedefine/>
    <w:qFormat/>
    <w:uiPriority w:val="0"/>
    <w:pPr>
      <w:spacing w:before="100" w:beforeLines="100" w:line="360" w:lineRule="auto"/>
    </w:pPr>
    <w:rPr>
      <w:rFonts w:ascii="宋体" w:hAnsiTheme="minorHAnsi" w:cstheme="minorBidi"/>
      <w:szCs w:val="21"/>
    </w:rPr>
  </w:style>
  <w:style w:type="paragraph" w:styleId="11">
    <w:name w:val="toc 8"/>
    <w:basedOn w:val="1"/>
    <w:next w:val="1"/>
    <w:autoRedefine/>
    <w:unhideWhenUsed/>
    <w:qFormat/>
    <w:uiPriority w:val="39"/>
    <w:pPr>
      <w:ind w:left="1260"/>
      <w:jc w:val="left"/>
    </w:pPr>
    <w:rPr>
      <w:rFonts w:asciiTheme="minorHAnsi" w:eastAsiaTheme="minorHAnsi"/>
      <w:sz w:val="20"/>
      <w:szCs w:val="20"/>
    </w:rPr>
  </w:style>
  <w:style w:type="paragraph" w:styleId="12">
    <w:name w:val="footer"/>
    <w:basedOn w:val="1"/>
    <w:link w:val="33"/>
    <w:autoRedefine/>
    <w:qFormat/>
    <w:uiPriority w:val="99"/>
    <w:pPr>
      <w:tabs>
        <w:tab w:val="center" w:pos="4153"/>
        <w:tab w:val="right" w:pos="8306"/>
      </w:tabs>
      <w:snapToGrid w:val="0"/>
      <w:jc w:val="left"/>
    </w:pPr>
    <w:rPr>
      <w:sz w:val="18"/>
    </w:rPr>
  </w:style>
  <w:style w:type="paragraph" w:styleId="13">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autoRedefine/>
    <w:unhideWhenUsed/>
    <w:qFormat/>
    <w:uiPriority w:val="39"/>
    <w:pPr>
      <w:spacing w:before="360"/>
      <w:jc w:val="left"/>
    </w:pPr>
    <w:rPr>
      <w:rFonts w:asciiTheme="majorHAnsi" w:eastAsiaTheme="majorHAnsi"/>
      <w:b/>
      <w:bCs/>
      <w:caps/>
      <w:sz w:val="24"/>
    </w:rPr>
  </w:style>
  <w:style w:type="paragraph" w:styleId="15">
    <w:name w:val="toc 4"/>
    <w:basedOn w:val="1"/>
    <w:next w:val="1"/>
    <w:autoRedefine/>
    <w:unhideWhenUsed/>
    <w:qFormat/>
    <w:uiPriority w:val="39"/>
    <w:pPr>
      <w:ind w:left="420"/>
      <w:jc w:val="left"/>
    </w:pPr>
    <w:rPr>
      <w:rFonts w:asciiTheme="minorHAnsi" w:eastAsiaTheme="minorHAnsi"/>
      <w:sz w:val="20"/>
      <w:szCs w:val="20"/>
    </w:rPr>
  </w:style>
  <w:style w:type="paragraph" w:styleId="16">
    <w:name w:val="toc 6"/>
    <w:basedOn w:val="1"/>
    <w:next w:val="1"/>
    <w:autoRedefine/>
    <w:unhideWhenUsed/>
    <w:qFormat/>
    <w:uiPriority w:val="39"/>
    <w:pPr>
      <w:ind w:left="840"/>
      <w:jc w:val="left"/>
    </w:pPr>
    <w:rPr>
      <w:rFonts w:asciiTheme="minorHAnsi" w:eastAsiaTheme="minorHAnsi"/>
      <w:sz w:val="20"/>
      <w:szCs w:val="20"/>
    </w:rPr>
  </w:style>
  <w:style w:type="paragraph" w:styleId="17">
    <w:name w:val="toc 2"/>
    <w:basedOn w:val="1"/>
    <w:next w:val="1"/>
    <w:autoRedefine/>
    <w:unhideWhenUsed/>
    <w:qFormat/>
    <w:uiPriority w:val="39"/>
    <w:pPr>
      <w:spacing w:before="240"/>
      <w:jc w:val="left"/>
    </w:pPr>
    <w:rPr>
      <w:rFonts w:asciiTheme="minorHAnsi" w:eastAsiaTheme="minorHAnsi"/>
      <w:b/>
      <w:bCs/>
      <w:sz w:val="20"/>
      <w:szCs w:val="20"/>
    </w:rPr>
  </w:style>
  <w:style w:type="paragraph" w:styleId="18">
    <w:name w:val="toc 9"/>
    <w:basedOn w:val="1"/>
    <w:next w:val="1"/>
    <w:autoRedefine/>
    <w:unhideWhenUsed/>
    <w:qFormat/>
    <w:uiPriority w:val="39"/>
    <w:pPr>
      <w:ind w:left="1470"/>
      <w:jc w:val="left"/>
    </w:pPr>
    <w:rPr>
      <w:rFonts w:asciiTheme="minorHAnsi" w:eastAsiaTheme="minorHAnsi"/>
      <w:sz w:val="20"/>
      <w:szCs w:val="20"/>
    </w:rPr>
  </w:style>
  <w:style w:type="paragraph" w:styleId="19">
    <w:name w:val="Normal (Web)"/>
    <w:basedOn w:val="1"/>
    <w:qFormat/>
    <w:uiPriority w:val="0"/>
    <w:rPr>
      <w:sz w:val="24"/>
      <w:szCs w:val="20"/>
    </w:rPr>
  </w:style>
  <w:style w:type="paragraph" w:styleId="20">
    <w:name w:val="Title"/>
    <w:basedOn w:val="1"/>
    <w:next w:val="1"/>
    <w:link w:val="35"/>
    <w:autoRedefine/>
    <w:qFormat/>
    <w:uiPriority w:val="10"/>
    <w:pPr>
      <w:pageBreakBefore/>
      <w:spacing w:before="100" w:beforeLines="100" w:after="100" w:afterLines="100" w:line="360" w:lineRule="auto"/>
      <w:jc w:val="center"/>
      <w:outlineLvl w:val="0"/>
    </w:pPr>
    <w:rPr>
      <w:rFonts w:eastAsia="楷体" w:cstheme="majorBidi"/>
      <w:b/>
      <w:bCs/>
      <w:sz w:val="36"/>
      <w:szCs w:val="32"/>
    </w:rPr>
  </w:style>
  <w:style w:type="table" w:styleId="22">
    <w:name w:val="Table Grid"/>
    <w:basedOn w:val="21"/>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Light List Accent 1"/>
    <w:basedOn w:val="21"/>
    <w:semiHidden/>
    <w:unhideWhenUsed/>
    <w:uiPriority w:val="61"/>
    <w:rPr>
      <w:rFonts w:asciiTheme="minorHAnsi" w:hAnsiTheme="minorHAnsi" w:eastAsiaTheme="minorEastAsia" w:cstheme="minorBidi"/>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C7EDCC"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5">
    <w:name w:val="page number"/>
    <w:basedOn w:val="24"/>
    <w:autoRedefine/>
    <w:qFormat/>
    <w:uiPriority w:val="0"/>
  </w:style>
  <w:style w:type="character" w:styleId="26">
    <w:name w:val="FollowedHyperlink"/>
    <w:basedOn w:val="24"/>
    <w:autoRedefine/>
    <w:semiHidden/>
    <w:unhideWhenUsed/>
    <w:qFormat/>
    <w:uiPriority w:val="99"/>
    <w:rPr>
      <w:color w:val="954F72" w:themeColor="followedHyperlink"/>
      <w:u w:val="single"/>
      <w14:textFill>
        <w14:solidFill>
          <w14:schemeClr w14:val="folHlink"/>
        </w14:solidFill>
      </w14:textFill>
    </w:rPr>
  </w:style>
  <w:style w:type="character" w:styleId="27">
    <w:name w:val="Hyperlink"/>
    <w:basedOn w:val="24"/>
    <w:autoRedefine/>
    <w:unhideWhenUsed/>
    <w:qFormat/>
    <w:uiPriority w:val="99"/>
    <w:rPr>
      <w:color w:val="0563C1" w:themeColor="hyperlink"/>
      <w:u w:val="single"/>
      <w14:textFill>
        <w14:solidFill>
          <w14:schemeClr w14:val="hlink"/>
        </w14:solidFill>
      </w14:textFill>
    </w:rPr>
  </w:style>
  <w:style w:type="character" w:customStyle="1" w:styleId="28">
    <w:name w:val="标题 2 字符"/>
    <w:basedOn w:val="24"/>
    <w:link w:val="3"/>
    <w:autoRedefine/>
    <w:qFormat/>
    <w:uiPriority w:val="9"/>
    <w:rPr>
      <w:rFonts w:ascii="Arial" w:hAnsi="Arial" w:eastAsia="黑体"/>
      <w:b/>
      <w:bCs/>
      <w:kern w:val="2"/>
      <w:sz w:val="32"/>
      <w:szCs w:val="32"/>
    </w:rPr>
  </w:style>
  <w:style w:type="paragraph" w:customStyle="1" w:styleId="29">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标题 1 字符"/>
    <w:basedOn w:val="24"/>
    <w:link w:val="2"/>
    <w:uiPriority w:val="9"/>
    <w:rPr>
      <w:b/>
      <w:bCs/>
      <w:kern w:val="44"/>
      <w:sz w:val="44"/>
      <w:szCs w:val="44"/>
    </w:rPr>
  </w:style>
  <w:style w:type="character" w:customStyle="1" w:styleId="31">
    <w:name w:val="标题 4 字符"/>
    <w:basedOn w:val="24"/>
    <w:link w:val="5"/>
    <w:autoRedefine/>
    <w:qFormat/>
    <w:uiPriority w:val="9"/>
    <w:rPr>
      <w:rFonts w:eastAsia="黑体" w:asciiTheme="majorHAnsi" w:hAnsiTheme="majorHAnsi" w:cstheme="majorBidi"/>
      <w:b/>
      <w:bCs/>
      <w:kern w:val="2"/>
      <w:sz w:val="28"/>
      <w:szCs w:val="28"/>
    </w:rPr>
  </w:style>
  <w:style w:type="character" w:customStyle="1" w:styleId="32">
    <w:name w:val="纯文本 字符"/>
    <w:basedOn w:val="24"/>
    <w:link w:val="10"/>
    <w:autoRedefine/>
    <w:qFormat/>
    <w:uiPriority w:val="0"/>
    <w:rPr>
      <w:rFonts w:ascii="宋体" w:hAnsiTheme="minorHAnsi" w:cstheme="minorBidi"/>
      <w:kern w:val="2"/>
      <w:sz w:val="21"/>
      <w:szCs w:val="21"/>
    </w:rPr>
  </w:style>
  <w:style w:type="character" w:customStyle="1" w:styleId="33">
    <w:name w:val="页脚 字符"/>
    <w:basedOn w:val="24"/>
    <w:link w:val="12"/>
    <w:autoRedefine/>
    <w:qFormat/>
    <w:uiPriority w:val="99"/>
    <w:rPr>
      <w:kern w:val="2"/>
      <w:sz w:val="18"/>
      <w:szCs w:val="24"/>
    </w:rPr>
  </w:style>
  <w:style w:type="character" w:customStyle="1" w:styleId="34">
    <w:name w:val="页眉 字符"/>
    <w:basedOn w:val="24"/>
    <w:link w:val="13"/>
    <w:autoRedefine/>
    <w:qFormat/>
    <w:uiPriority w:val="99"/>
    <w:rPr>
      <w:kern w:val="2"/>
      <w:sz w:val="18"/>
      <w:szCs w:val="24"/>
    </w:rPr>
  </w:style>
  <w:style w:type="character" w:customStyle="1" w:styleId="35">
    <w:name w:val="标题 字符"/>
    <w:basedOn w:val="24"/>
    <w:link w:val="20"/>
    <w:qFormat/>
    <w:uiPriority w:val="10"/>
    <w:rPr>
      <w:rFonts w:eastAsia="楷体" w:cstheme="majorBidi"/>
      <w:b/>
      <w:bCs/>
      <w:kern w:val="2"/>
      <w:sz w:val="36"/>
      <w:szCs w:val="32"/>
    </w:rPr>
  </w:style>
  <w:style w:type="paragraph" w:customStyle="1" w:styleId="36">
    <w:name w:val="三级标题"/>
    <w:basedOn w:val="3"/>
    <w:link w:val="38"/>
    <w:autoRedefine/>
    <w:qFormat/>
    <w:uiPriority w:val="0"/>
    <w:pPr>
      <w:widowControl w:val="0"/>
      <w:spacing w:before="50" w:beforeLines="50" w:after="50" w:afterLines="50" w:line="360" w:lineRule="auto"/>
      <w:outlineLvl w:val="2"/>
    </w:pPr>
    <w:rPr>
      <w:rFonts w:cstheme="majorBidi"/>
      <w:sz w:val="28"/>
    </w:rPr>
  </w:style>
  <w:style w:type="paragraph" w:styleId="37">
    <w:name w:val="List Paragraph"/>
    <w:basedOn w:val="1"/>
    <w:qFormat/>
    <w:uiPriority w:val="34"/>
    <w:pPr>
      <w:spacing w:line="360" w:lineRule="auto"/>
      <w:ind w:firstLine="420" w:firstLineChars="200"/>
    </w:pPr>
    <w:rPr>
      <w:rFonts w:eastAsiaTheme="minorEastAsia" w:cstheme="minorBidi"/>
      <w:szCs w:val="22"/>
    </w:rPr>
  </w:style>
  <w:style w:type="character" w:customStyle="1" w:styleId="38">
    <w:name w:val="三级标题 字符"/>
    <w:basedOn w:val="28"/>
    <w:link w:val="36"/>
    <w:autoRedefine/>
    <w:qFormat/>
    <w:uiPriority w:val="0"/>
    <w:rPr>
      <w:rFonts w:ascii="Arial" w:hAnsi="Arial" w:eastAsia="黑体" w:cstheme="majorBidi"/>
      <w:kern w:val="2"/>
      <w:sz w:val="28"/>
      <w:szCs w:val="32"/>
    </w:rPr>
  </w:style>
  <w:style w:type="table" w:customStyle="1" w:styleId="39">
    <w:name w:val="网格型1"/>
    <w:basedOn w:val="21"/>
    <w:autoRedefine/>
    <w:qFormat/>
    <w:uiPriority w:val="59"/>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AMDisplayEquation"/>
    <w:basedOn w:val="1"/>
    <w:next w:val="1"/>
    <w:link w:val="41"/>
    <w:autoRedefine/>
    <w:qFormat/>
    <w:uiPriority w:val="0"/>
    <w:pPr>
      <w:tabs>
        <w:tab w:val="center" w:pos="4160"/>
        <w:tab w:val="right" w:pos="8320"/>
      </w:tabs>
      <w:spacing w:line="360" w:lineRule="auto"/>
      <w:ind w:firstLine="420" w:firstLineChars="200"/>
      <w:jc w:val="center"/>
    </w:pPr>
    <w:rPr>
      <w:rFonts w:eastAsiaTheme="minorEastAsia" w:cstheme="minorBidi"/>
      <w:szCs w:val="22"/>
    </w:rPr>
  </w:style>
  <w:style w:type="character" w:customStyle="1" w:styleId="41">
    <w:name w:val="AMDisplayEquation 字符"/>
    <w:basedOn w:val="24"/>
    <w:link w:val="40"/>
    <w:autoRedefine/>
    <w:qFormat/>
    <w:uiPriority w:val="0"/>
    <w:rPr>
      <w:rFonts w:eastAsiaTheme="minorEastAsia" w:cstheme="minorBidi"/>
      <w:kern w:val="2"/>
      <w:sz w:val="21"/>
      <w:szCs w:val="22"/>
    </w:rPr>
  </w:style>
  <w:style w:type="table" w:customStyle="1" w:styleId="42">
    <w:name w:val="网格型2"/>
    <w:basedOn w:val="21"/>
    <w:unhideWhenUsed/>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
    <w:name w:val="网格型3"/>
    <w:basedOn w:val="21"/>
    <w:autoRedefine/>
    <w:unhideWhenUsed/>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未处理的提及1"/>
    <w:basedOn w:val="24"/>
    <w:semiHidden/>
    <w:unhideWhenUsed/>
    <w:uiPriority w:val="99"/>
    <w:rPr>
      <w:color w:val="605E5C"/>
      <w:shd w:val="clear" w:color="auto" w:fill="E1DFDD"/>
    </w:rPr>
  </w:style>
  <w:style w:type="paragraph" w:customStyle="1" w:styleId="45">
    <w:name w:val="TOC 标题2"/>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6">
    <w:name w:val="标题 3 字符"/>
    <w:basedOn w:val="24"/>
    <w:link w:val="4"/>
    <w:autoRedefine/>
    <w:semiHidden/>
    <w:qFormat/>
    <w:uiPriority w:val="9"/>
    <w:rPr>
      <w:b/>
      <w:bCs/>
      <w:kern w:val="2"/>
      <w:sz w:val="32"/>
      <w:szCs w:val="32"/>
    </w:rPr>
  </w:style>
  <w:style w:type="paragraph" w:customStyle="1" w:styleId="47">
    <w:name w:val="WPSOffice手动目录 1"/>
    <w:autoRedefine/>
    <w:qFormat/>
    <w:uiPriority w:val="0"/>
    <w:rPr>
      <w:rFonts w:ascii="Times New Roman" w:hAnsi="Times New Roman" w:eastAsia="宋体" w:cs="Times New Roman"/>
      <w:lang w:val="en-US" w:eastAsia="zh-CN" w:bidi="ar-SA"/>
    </w:rPr>
  </w:style>
  <w:style w:type="paragraph" w:customStyle="1" w:styleId="48">
    <w:name w:val="WPSOffice手动目录 2"/>
    <w:autoRedefine/>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ECE6EC-0B2D-4F18-8A03-B70F105028DB}">
  <ds:schemaRefs/>
</ds:datastoreItem>
</file>

<file path=docProps/app.xml><?xml version="1.0" encoding="utf-8"?>
<Properties xmlns="http://schemas.openxmlformats.org/officeDocument/2006/extended-properties" xmlns:vt="http://schemas.openxmlformats.org/officeDocument/2006/docPropsVTypes">
  <Template>Normal</Template>
  <Pages>10</Pages>
  <Words>1036</Words>
  <Characters>5911</Characters>
  <Lines>49</Lines>
  <Paragraphs>13</Paragraphs>
  <TotalTime>1</TotalTime>
  <ScaleCrop>false</ScaleCrop>
  <LinksUpToDate>false</LinksUpToDate>
  <CharactersWithSpaces>6934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2022-05-07T07:49:00Z</dcterms:created>
  <dc:creator>WANGSHU</dc:creator>
  <cp:lastModifiedBy>蒋冬青</cp:lastModifiedBy>
  <cp:lastPrinted>2016-04-21T04:10:00Z</cp:lastPrinted>
  <dcterms:modified xsi:type="dcterms:W3CDTF">2024-05-12T15:58:03Z</dcterms:modified>
  <dc:title>福建省互联网经济创业创新大赛</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commondata">
    <vt:lpwstr>eyJoZGlkIjoiNTA4MzI5MTcyNGViODUxZjQ2YjAxNjQ3YzFhZGZlMzMifQ==</vt:lpwstr>
  </property>
  <property fmtid="{D5CDD505-2E9C-101B-9397-08002B2CF9AE}" pid="4" name="ICV">
    <vt:lpwstr>F79D857AD77F4CF68D0F39051B828A07</vt:lpwstr>
  </property>
</Properties>
</file>