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2026년 문서 파싱 고도화 계획</w:t>
      </w:r>
    </w:p>
    <w:p>
      <w:r>
        <w:t xml:space="preserve">작성: 문서 파싱 TF  |  참고: </w:t>
      </w:r>
      <w:hyperlink r:id="rId10">
        <w:r>
          <w:rPr>
            <w:color w:val="0563C1"/>
            <w:u w:val="single"/>
          </w:rPr>
          <w:t>Docling 저장소</w:t>
        </w:r>
      </w:hyperlink>
    </w:p>
    <w:p>
      <w:pPr>
        <w:pStyle w:val="Heading1"/>
      </w:pPr>
      <w:r>
        <w:t>1. 추진 배경</w:t>
      </w:r>
    </w:p>
    <w:p>
      <w:r>
        <w:t>□ 문서 파싱 품질 문제</w:t>
      </w:r>
    </w:p>
    <w:p>
      <w:r>
        <w:t>○ 표 구조 손실: 병합 셀이 Markdown 변환 과정에서 사라짐</w:t>
      </w:r>
    </w:p>
    <w:p>
      <w:r>
        <w:t>- 예산표, 결재란 등 업무 문서의 핵심 정보 누락</w:t>
      </w:r>
    </w:p>
    <w:p>
      <w:r>
        <w:t>- 화면 표시와 LLM 입력 모두 품질 저하</w:t>
      </w:r>
    </w:p>
    <w:p>
      <w:r>
        <w:t>○ 한국어 띄어쓰기 소실</w:t>
      </w:r>
    </w:p>
    <w:p>
      <w:r>
        <w:t>※ 디지털 PDF 기준 어절 일치율 11.4%</w:t>
      </w:r>
    </w:p>
    <w:p>
      <w:r>
        <w:t>□ 처리 속도 문제</w:t>
      </w:r>
    </w:p>
    <w:p>
      <w:r>
        <w:t>○ 스캔 문서 OCR이 전체 처리 시간의 대부분을 차지</w:t>
      </w:r>
    </w:p>
    <w:p>
      <w:pPr>
        <w:pStyle w:val="Heading1"/>
      </w:pPr>
      <w:r>
        <w:t>2. 추진 계획</w:t>
      </w:r>
    </w:p>
    <w:p>
      <w:pPr>
        <w:numPr>
          <w:ilvl w:val="0"/>
          <w:numId w:val="90"/>
        </w:numPr>
      </w:pPr>
      <w:r>
        <w:t>통합 문서 모델 구축</w:t>
      </w:r>
    </w:p>
    <w:p>
      <w:pPr>
        <w:numPr>
          <w:ilvl w:val="1"/>
          <w:numId w:val="90"/>
        </w:numPr>
      </w:pPr>
      <w:r>
        <w:t>DOCX 파서 개발</w:t>
      </w:r>
    </w:p>
    <w:p>
      <w:pPr>
        <w:numPr>
          <w:ilvl w:val="2"/>
          <w:numId w:val="90"/>
        </w:numPr>
      </w:pPr>
      <w:r>
        <w:t>문단과 서식</w:t>
      </w:r>
    </w:p>
    <w:p>
      <w:pPr>
        <w:numPr>
          <w:ilvl w:val="3"/>
          <w:numId w:val="90"/>
        </w:numPr>
      </w:pPr>
      <w:r>
        <w:t>자동 번호</w:t>
      </w:r>
    </w:p>
    <w:p>
      <w:pPr>
        <w:numPr>
          <w:ilvl w:val="3"/>
          <w:numId w:val="90"/>
        </w:numPr>
      </w:pPr>
      <w:r>
        <w:t>셀 병합</w:t>
      </w:r>
    </w:p>
    <w:p>
      <w:pPr>
        <w:numPr>
          <w:ilvl w:val="2"/>
          <w:numId w:val="90"/>
        </w:numPr>
      </w:pPr>
      <w:r>
        <w:t>도형과 순서도</w:t>
      </w:r>
    </w:p>
    <w:p>
      <w:pPr>
        <w:numPr>
          <w:ilvl w:val="1"/>
          <w:numId w:val="90"/>
        </w:numPr>
      </w:pPr>
      <w:r>
        <w:t>HWPX 파서 개발</w:t>
      </w:r>
    </w:p>
    <w:p>
      <w:pPr>
        <w:numPr>
          <w:ilvl w:val="0"/>
          <w:numId w:val="90"/>
        </w:numPr>
      </w:pPr>
      <w:r>
        <w:t>화면 표시 품질 검증</w:t>
      </w:r>
    </w:p>
    <w:p>
      <w:pPr>
        <w:pStyle w:val="Heading1"/>
      </w:pPr>
      <w:r>
        <w:t>3. 예산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  <w:shd w:val="clear" w:color="auto" w:fill="D9E2F3"/>
            <w:shd w:val="clear" w:color="auto" w:fill="D9E2F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6480"/>
            <w:gridSpan w:val="3"/>
            <w:shd w:val="clear" w:color="auto" w:fill="D9E2F3"/>
            <w:shd w:val="clear" w:color="auto" w:fill="D9E2F3"/>
            <w:shd w:val="clear" w:color="auto" w:fill="D9E2F3"/>
          </w:tcPr>
          <w:p>
            <w:r>
              <w:rPr>
                <w:b/>
              </w:rPr>
              <w:t>2026년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상반기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하반기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합계</w:t>
            </w:r>
          </w:p>
        </w:tc>
      </w:tr>
      <w:tr>
        <w:tc>
          <w:tcPr>
            <w:tcW w:type="dxa" w:w="2160"/>
          </w:tcPr>
          <w:p>
            <w:r>
              <w:t>인건비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장비비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합계</w:t>
            </w:r>
          </w:p>
        </w:tc>
        <w:tc>
          <w:tcPr>
            <w:tcW w:type="dxa" w:w="2160"/>
            <w:shd w:val="clear" w:color="auto" w:fill="F2F2F2"/>
          </w:tcPr>
          <w:p>
            <w:r>
              <w:t>15</w:t>
            </w:r>
          </w:p>
        </w:tc>
        <w:tc>
          <w:tcPr>
            <w:tcW w:type="dxa" w:w="2160"/>
            <w:shd w:val="clear" w:color="auto" w:fill="F2F2F2"/>
          </w:tcPr>
          <w:p>
            <w:r>
              <w:t>19</w:t>
            </w:r>
          </w:p>
        </w:tc>
        <w:tc>
          <w:tcPr>
            <w:tcW w:type="dxa" w:w="2160"/>
            <w:shd w:val="clear" w:color="auto" w:fill="F2F2F2"/>
          </w:tcPr>
          <w:p>
            <w:r>
              <w:t>34</w:t>
            </w:r>
          </w:p>
        </w:tc>
      </w:tr>
    </w:tbl>
    <w:p>
      <w:pPr>
        <w:jc w:val="right"/>
      </w:pPr>
      <w:r>
        <w:t>(단위: 억원)</w:t>
      </w:r>
    </w:p>
    <w:p>
      <w:pPr>
        <w:pStyle w:val="Heading1"/>
      </w:pPr>
      <w:r>
        <w:t>4. 실적 추이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 1. 분기별 처리 건수</w:t>
      </w:r>
    </w:p>
    <w:p>
      <w:pPr>
        <w:pStyle w:val="Heading1"/>
      </w:pPr>
      <w:r>
        <w:t>5. 결재 절차</w:t>
      </w:r>
    </w:p>
    <w:p>
      <w:r xmlns:a="http://schemas.openxmlformats.org/drawingml/2006/main">
        <mc:AlternateContent>
          <mc:Choice Requires="wpg">
            <w:drawing>
              <wp:inline distT="0" distB="0" distL="0" distR="0">
                <wp:extent cx="5461000" cy="1905000"/>
                <wp:docPr id="100" name="순서도" descr="결재 처리 순서도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0" cy="1905000"/>
                          <a:chOff x="0" y="0"/>
                          <a:chExt cx="5461000" cy="1905000"/>
                        </a:xfrm>
                      </wpg:grpSpPr>
                      <wps:wsp>
                        <wps:cNvPr id="11" name="신청"/>
                        <wps:cNvSpPr/>
                        <wps:spPr>
                          <a:xfrm>
                            <a:off x="0" y="635000"/>
                            <a:ext cx="1143000" cy="508000"/>
                          </a:xfrm>
                          <a:prstGeom prst="flowChartTerminator">
                            <a:avLst/>
                          </a:prstGeom>
                          <a:solidFill>
                            <a:srgbClr val="2E75B6"/>
                          </a:solidFill>
                          <a:ln w="12700">
                            <a:solidFill>
                              <a:srgbClr val="1F3864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신청</w:t>
                              </w:r>
                            </w:p>
                          </w:txbxContent>
                        </wps:txbx>
                        <wps:bodyPr anchor="ctr" lIns="45720" rIns="45720"/>
                      </wps:wsp>
                      <wps:wsp>
                        <wps:cNvPr id="12" name="검토"/>
                        <wps:cNvSpPr/>
                        <wps:spPr>
                          <a:xfrm>
                            <a:off x="1778000" y="635000"/>
                            <a:ext cx="1270000" cy="508000"/>
                          </a:xfrm>
                          <a:prstGeom prst="flowChartProcess">
                            <a:avLst/>
                          </a:prstGeom>
                          <a:solidFill>
                            <a:srgbClr val="2E75B6"/>
                          </a:solidFill>
                          <a:ln w="12700">
                            <a:solidFill>
                              <a:srgbClr val="1F3864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부서 검토</w:t>
                              </w:r>
                            </w:p>
                          </w:txbxContent>
                        </wps:txbx>
                        <wps:bodyPr anchor="ctr" lIns="45720" rIns="45720"/>
                      </wps:wsp>
                      <wps:wsp>
                        <wps:cNvPr id="13" name="판단"/>
                        <wps:cNvSpPr/>
                        <wps:spPr>
                          <a:xfrm>
                            <a:off x="3683000" y="444500"/>
                            <a:ext cx="1397000" cy="889000"/>
                          </a:xfrm>
                          <a:prstGeom prst="flowChartDecision">
                            <a:avLst/>
                          </a:prstGeom>
                          <a:solidFill>
                            <a:srgbClr val="C55A11"/>
                          </a:solidFill>
                          <a:ln w="12700">
                            <a:solidFill>
                              <a:srgbClr val="1F3864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적합?</w:t>
                              </w:r>
                            </w:p>
                          </w:txbxContent>
                        </wps:txbx>
                        <wps:bodyPr anchor="ctr" lIns="45720" rIns="45720"/>
                      </wps:wsp>
                      <wps:wsp>
                        <wps:cNvPr id="14" name="승인"/>
                        <wps:cNvSpPr/>
                        <wps:spPr>
                          <a:xfrm>
                            <a:off x="3810000" y="0"/>
                            <a:ext cx="1143000" cy="355600"/>
                          </a:xfrm>
                          <a:prstGeom prst="roundRect">
                            <a:avLst/>
                          </a:prstGeom>
                          <a:solidFill>
                            <a:srgbClr val="548235"/>
                          </a:solidFill>
                          <a:ln w="12700">
                            <a:solidFill>
                              <a:srgbClr val="1F3864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승인</w:t>
                              </w:r>
                            </w:p>
                          </w:txbxContent>
                        </wps:txbx>
                        <wps:bodyPr anchor="ctr" lIns="45720" rIns="45720"/>
                      </wps:wsp>
                      <wps:wsp>
                        <wps:cNvPr id="15" name="반려"/>
                        <wps:cNvSpPr/>
                        <wps:spPr>
                          <a:xfrm>
                            <a:off x="3810000" y="1498600"/>
                            <a:ext cx="1143000" cy="355600"/>
                          </a:xfrm>
                          <a:prstGeom prst="roundRect">
                            <a:avLst/>
                          </a:prstGeom>
                          <a:solidFill>
                            <a:srgbClr val="A5A5A5"/>
                          </a:solidFill>
                          <a:ln w="12700">
                            <a:solidFill>
                              <a:srgbClr val="1F3864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반려</w:t>
                              </w:r>
                            </w:p>
                          </w:txbxContent>
                        </wps:txbx>
                        <wps:bodyPr anchor="ctr" lIns="45720" rIns="45720"/>
                      </wps:wsp>
                      <wps:wsp>
                        <wps:cNvPr id="21" name="연결선 21"/>
                        <wps:cNvCnPr>
                          <a:stCxn id="11" idx="3"/>
                          <a:endCxn id="12" idx="1"/>
                        </wps:cNvCnPr>
                        <wps:spPr>
                          <a:xfrm>
                            <a:off x="1143000" y="889000"/>
                            <a:ext cx="635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22" name="연결선 22"/>
                        <wps:cNvCnPr>
                          <a:stCxn id="12" idx="3"/>
                          <a:endCxn id="13" idx="1"/>
                        </wps:cNvCnPr>
                        <wps:spPr>
                          <a:xfrm>
                            <a:off x="3048000" y="889000"/>
                            <a:ext cx="635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23" name="연결선 23"/>
                        <wps:cNvCnPr>
                          <a:stCxn id="13" idx="3"/>
                          <a:endCxn id="14" idx="1"/>
                        </wps:cNvCnPr>
                        <wps:spPr>
                          <a:xfrm flipV="1">
                            <a:off x="4381500" y="355600"/>
                            <a:ext cx="0" cy="889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24" name="연결선 24"/>
                        <wps:cNvCnPr>
                          <a:stCxn id="13" idx="3"/>
                          <a:endCxn id="15" idx="1"/>
                        </wps:cNvCnPr>
                        <wps:spPr>
                          <a:xfrm>
                            <a:off x="4381500" y="1333500"/>
                            <a:ext cx="0" cy="1651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04040"/>
                            </a:solidFill>
                            <a:tailEnd type="triangle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p>
      <w:r>
        <w:rPr>
          <w:i/>
          <w:color w:val="C00000"/>
        </w:rPr>
        <w:t>※ 반려 시 신청 단계로 돌아갑니다.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대외비 · 문서 파싱 TF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ganada"/>
      <w:lvlText w:val="%2."/>
      <w:lvlJc w:val="left"/>
      <w:pPr>
        <w:ind w:left="800" w:hanging="400"/>
      </w:pPr>
    </w:lvl>
    <w:lvl w:ilvl="2">
      <w:start w:val="1"/>
      <w:numFmt w:val="decimal"/>
      <w:lvlText w:val="%3)"/>
      <w:lvlJc w:val="left"/>
      <w:pPr>
        <w:ind w:left="1200" w:hanging="400"/>
      </w:pPr>
    </w:lvl>
    <w:lvl w:ilvl="3">
      <w:start w:val="1"/>
      <w:numFmt w:val="ganada"/>
      <w:lvlText w:val="%4)"/>
      <w:lvlJc w:val="left"/>
      <w:pPr>
        <w:ind w:left="16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docling-project/docling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문서 파싱 고도화 계획</dc:title>
  <dc:subject/>
  <dc:creator>korean-parser</dc:creator>
  <cp:keywords/>
  <dc:description>generated by python-docx</dc:description>
  <cp:lastModifiedBy/>
  <cp:revision>1</cp:revision>
  <dcterms:created xsi:type="dcterms:W3CDTF">2026-10-15T09:00:00Z</dcterms:created>
  <dcterms:modified xsi:type="dcterms:W3CDTF">2013-12-23T23:15:00Z</dcterms:modified>
  <cp:category/>
</cp:coreProperties>
</file>