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5226" w:val="clear"/>
            <w:tcMar>
              <w:top w:w="180.0" w:type="dxa"/>
              <w:left w:w="300.0" w:type="dxa"/>
              <w:bottom w:w="180.0" w:type="dxa"/>
              <w:right w:w="300.0" w:type="dxa"/>
            </w:tcMar>
          </w:tcPr>
          <w:p w:rsidR="00000000" w:rsidDel="00000000" w:rsidP="00000000" w:rsidRDefault="00000000" w:rsidRPr="00000000" w14:paraId="00000002">
            <w:pPr>
              <w:spacing w:after="40" w:before="0" w:lineRule="auto"/>
              <w:rPr/>
            </w:pPr>
            <w:r w:rsidDel="00000000" w:rsidR="00000000" w:rsidRPr="00000000">
              <w:rPr>
                <w:rFonts w:ascii="Arial" w:cs="Arial" w:eastAsia="Arial" w:hAnsi="Arial"/>
                <w:b w:val="1"/>
                <w:bCs w:val="1"/>
                <w:color w:val="ffffff"/>
                <w:sz w:val="52"/>
                <w:szCs w:val="52"/>
                <w:rtl w:val="0"/>
              </w:rPr>
              <w:t xml:space="preserve">Diagnosis </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color w:val="c8e6c9"/>
                <w:sz w:val="22"/>
                <w:szCs w:val="22"/>
                <w:rtl w:val="0"/>
              </w:rPr>
              <w:t xml:space="preserve">rgd_udm_silver </w:t>
            </w:r>
            <w:r w:rsidDel="00000000" w:rsidR="00000000" w:rsidRPr="00000000">
              <w:rPr>
                <w:rtl w:val="0"/>
              </w:rPr>
            </w:r>
          </w:p>
        </w:tc>
      </w:tr>
    </w:tbl>
    <w:p w:rsidR="00000000" w:rsidDel="00000000" w:rsidP="00000000" w:rsidRDefault="00000000" w:rsidRPr="00000000" w14:paraId="00000004">
      <w:pPr>
        <w:spacing w:after="0" w:before="1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e5631" w:space="0" w:sz="4" w:val="single"/>
              <w:left w:color="1e5631" w:space="0" w:sz="4" w:val="single"/>
              <w:bottom w:color="1e5631" w:space="0" w:sz="4" w:val="single"/>
              <w:right w:color="1e5631" w:space="0" w:sz="4" w:val="single"/>
            </w:tcBorders>
            <w:shd w:fill="eef6f0" w:val="clear"/>
            <w:tcMar>
              <w:top w:w="150.0" w:type="dxa"/>
              <w:left w:w="120.0" w:type="dxa"/>
              <w:bottom w:w="150.0" w:type="dxa"/>
              <w:right w:w="120.0" w:type="dxa"/>
            </w:tcMar>
            <w:vAlign w:val="center"/>
          </w:tcPr>
          <w:p w:rsidR="00000000" w:rsidDel="00000000" w:rsidP="00000000" w:rsidRDefault="00000000" w:rsidRPr="00000000" w14:paraId="00000005">
            <w:pPr>
              <w:spacing w:after="30" w:before="0" w:lineRule="auto"/>
              <w:jc w:val="center"/>
              <w:rPr/>
            </w:pPr>
            <w:r w:rsidDel="00000000" w:rsidR="00000000" w:rsidRPr="00000000">
              <w:rPr>
                <w:rFonts w:ascii="Arial" w:cs="Arial" w:eastAsia="Arial" w:hAnsi="Arial"/>
                <w:b w:val="1"/>
                <w:bCs w:val="1"/>
                <w:color w:val="1e5631"/>
                <w:sz w:val="36"/>
                <w:szCs w:val="36"/>
                <w:rtl w:val="0"/>
              </w:rPr>
              <w:t xml:space="preserve">47.9M</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Arial" w:cs="Arial" w:eastAsia="Arial" w:hAnsi="Arial"/>
                <w:color w:val="4a4a4a"/>
                <w:sz w:val="15"/>
                <w:szCs w:val="15"/>
                <w:rtl w:val="0"/>
              </w:rPr>
              <w:t xml:space="preserve">Total Records</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eef6f0" w:val="clear"/>
            <w:tcMar>
              <w:top w:w="150.0" w:type="dxa"/>
              <w:left w:w="120.0" w:type="dxa"/>
              <w:bottom w:w="150.0" w:type="dxa"/>
              <w:right w:w="120.0" w:type="dxa"/>
            </w:tcMar>
            <w:vAlign w:val="center"/>
          </w:tcPr>
          <w:p w:rsidR="00000000" w:rsidDel="00000000" w:rsidP="00000000" w:rsidRDefault="00000000" w:rsidRPr="00000000" w14:paraId="00000007">
            <w:pPr>
              <w:spacing w:after="30" w:before="0" w:lineRule="auto"/>
              <w:jc w:val="center"/>
              <w:rPr/>
            </w:pPr>
            <w:r w:rsidDel="00000000" w:rsidR="00000000" w:rsidRPr="00000000">
              <w:rPr>
                <w:rFonts w:ascii="Arial" w:cs="Arial" w:eastAsia="Arial" w:hAnsi="Arial"/>
                <w:b w:val="1"/>
                <w:bCs w:val="1"/>
                <w:color w:val="1e5631"/>
                <w:sz w:val="36"/>
                <w:szCs w:val="36"/>
                <w:rtl w:val="0"/>
              </w:rPr>
              <w:t xml:space="preserve">2.8M</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4a4a4a"/>
                <w:sz w:val="15"/>
                <w:szCs w:val="15"/>
                <w:rtl w:val="0"/>
              </w:rPr>
              <w:t xml:space="preserve">Unique Patients</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eef6f0" w:val="clear"/>
            <w:tcMar>
              <w:top w:w="150.0" w:type="dxa"/>
              <w:left w:w="120.0" w:type="dxa"/>
              <w:bottom w:w="150.0" w:type="dxa"/>
              <w:right w:w="120.0" w:type="dxa"/>
            </w:tcMar>
            <w:vAlign w:val="center"/>
          </w:tcPr>
          <w:p w:rsidR="00000000" w:rsidDel="00000000" w:rsidP="00000000" w:rsidRDefault="00000000" w:rsidRPr="00000000" w14:paraId="00000009">
            <w:pPr>
              <w:spacing w:after="30" w:before="0" w:lineRule="auto"/>
              <w:jc w:val="center"/>
              <w:rPr/>
            </w:pPr>
            <w:r w:rsidDel="00000000" w:rsidR="00000000" w:rsidRPr="00000000">
              <w:rPr>
                <w:rFonts w:ascii="Arial" w:cs="Arial" w:eastAsia="Arial" w:hAnsi="Arial"/>
                <w:b w:val="1"/>
                <w:bCs w:val="1"/>
                <w:color w:val="1e5631"/>
                <w:sz w:val="36"/>
                <w:szCs w:val="36"/>
                <w:rtl w:val="0"/>
              </w:rPr>
              <w:t xml:space="preserve">14.8M</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Arial" w:cs="Arial" w:eastAsia="Arial" w:hAnsi="Arial"/>
                <w:color w:val="4a4a4a"/>
                <w:sz w:val="15"/>
                <w:szCs w:val="15"/>
                <w:rtl w:val="0"/>
              </w:rPr>
              <w:t xml:space="preserve">Unique Encounters</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eef6f0" w:val="clear"/>
            <w:tcMar>
              <w:top w:w="150.0" w:type="dxa"/>
              <w:left w:w="120.0" w:type="dxa"/>
              <w:bottom w:w="150.0" w:type="dxa"/>
              <w:right w:w="120.0" w:type="dxa"/>
            </w:tcMar>
            <w:vAlign w:val="center"/>
          </w:tcPr>
          <w:p w:rsidR="00000000" w:rsidDel="00000000" w:rsidP="00000000" w:rsidRDefault="00000000" w:rsidRPr="00000000" w14:paraId="0000000B">
            <w:pPr>
              <w:spacing w:after="30" w:before="0" w:lineRule="auto"/>
              <w:jc w:val="center"/>
              <w:rPr/>
            </w:pPr>
            <w:r w:rsidDel="00000000" w:rsidR="00000000" w:rsidRPr="00000000">
              <w:rPr>
                <w:rFonts w:ascii="Arial" w:cs="Arial" w:eastAsia="Arial" w:hAnsi="Arial"/>
                <w:b w:val="1"/>
                <w:bCs w:val="1"/>
                <w:color w:val="1e5631"/>
                <w:sz w:val="36"/>
                <w:szCs w:val="36"/>
                <w:rtl w:val="0"/>
              </w:rPr>
              <w:t xml:space="preserve">62,653</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Arial" w:cs="Arial" w:eastAsia="Arial" w:hAnsi="Arial"/>
                <w:color w:val="4a4a4a"/>
                <w:sz w:val="15"/>
                <w:szCs w:val="15"/>
                <w:rtl w:val="0"/>
              </w:rPr>
              <w:t xml:space="preserve">MCI Patients</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eef6f0" w:val="clear"/>
            <w:tcMar>
              <w:top w:w="150.0" w:type="dxa"/>
              <w:left w:w="120.0" w:type="dxa"/>
              <w:bottom w:w="150.0" w:type="dxa"/>
              <w:right w:w="120.0" w:type="dxa"/>
            </w:tcMar>
            <w:vAlign w:val="center"/>
          </w:tcPr>
          <w:p w:rsidR="00000000" w:rsidDel="00000000" w:rsidP="00000000" w:rsidRDefault="00000000" w:rsidRPr="00000000" w14:paraId="0000000D">
            <w:pPr>
              <w:spacing w:after="30" w:before="0" w:lineRule="auto"/>
              <w:jc w:val="center"/>
              <w:rPr/>
            </w:pPr>
            <w:r w:rsidDel="00000000" w:rsidR="00000000" w:rsidRPr="00000000">
              <w:rPr>
                <w:rFonts w:ascii="Arial" w:cs="Arial" w:eastAsia="Arial" w:hAnsi="Arial"/>
                <w:b w:val="1"/>
                <w:bCs w:val="1"/>
                <w:color w:val="1e5631"/>
                <w:sz w:val="36"/>
                <w:szCs w:val="36"/>
                <w:rtl w:val="0"/>
              </w:rPr>
              <w:t xml:space="preserve">58,074</w:t>
            </w: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Fonts w:ascii="Arial" w:cs="Arial" w:eastAsia="Arial" w:hAnsi="Arial"/>
                <w:color w:val="4a4a4a"/>
                <w:sz w:val="15"/>
                <w:szCs w:val="15"/>
                <w:rtl w:val="0"/>
              </w:rPr>
              <w:t xml:space="preserve">Alzheimer's Patients</w:t>
            </w:r>
            <w:r w:rsidDel="00000000" w:rsidR="00000000" w:rsidRPr="00000000">
              <w:rPr>
                <w:rtl w:val="0"/>
              </w:rPr>
            </w:r>
          </w:p>
        </w:tc>
      </w:tr>
    </w:tbl>
    <w:p w:rsidR="00000000" w:rsidDel="00000000" w:rsidP="00000000" w:rsidRDefault="00000000" w:rsidRPr="00000000" w14:paraId="0000000F">
      <w:pPr>
        <w:spacing w:after="0" w:before="13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
        <w:gridCol w:w="4560"/>
        <w:tblGridChange w:id="0">
          <w:tblGrid>
            <w:gridCol w:w="4560"/>
            <w:gridCol w:w="240"/>
            <w:gridCol w:w="4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10">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About This Table</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Fonts w:ascii="Arial" w:cs="Arial" w:eastAsia="Arial" w:hAnsi="Arial"/>
                <w:color w:val="4a4a4a"/>
                <w:sz w:val="18"/>
                <w:szCs w:val="18"/>
                <w:rtl w:val="0"/>
              </w:rPr>
              <w:t xml:space="preserve">The diagnosis table (rgd_udm_silver.diagnosis) contains 47.9 million diagnosis records across 2.8 million patients and 14.8 million encounters. Each row represents one diagnosis assigned to a patient at a clinical encounter. Records span ICD-9 and ICD-10 coding systems, covering encounters from 1990 through 2026.</w:t>
            </w:r>
            <w:r w:rsidDel="00000000" w:rsidR="00000000" w:rsidRPr="00000000">
              <w:rPr>
                <w:rtl w:val="0"/>
              </w:rPr>
            </w:r>
          </w:p>
          <w:p w:rsidR="00000000" w:rsidDel="00000000" w:rsidP="00000000" w:rsidRDefault="00000000" w:rsidRPr="00000000" w14:paraId="00000013">
            <w:pPr>
              <w:spacing w:after="0" w:before="120" w:lineRule="auto"/>
              <w:rPr/>
            </w:pPr>
            <w:r w:rsidDel="00000000" w:rsidR="00000000" w:rsidRPr="00000000">
              <w:rPr>
                <w:rtl w:val="0"/>
              </w:rPr>
            </w:r>
          </w:p>
          <w:p w:rsidR="00000000" w:rsidDel="00000000" w:rsidP="00000000" w:rsidRDefault="00000000" w:rsidRPr="00000000" w14:paraId="00000014">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Patient Population by Disease Area</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4"/>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0"/>
              <w:gridCol w:w="1400"/>
              <w:tblGridChange w:id="0">
                <w:tblGrid>
                  <w:gridCol w:w="3160"/>
                  <w:gridCol w:w="1400"/>
                </w:tblGrid>
              </w:tblGridChange>
            </w:tblGrid>
            <w:tr>
              <w:trPr>
                <w:cantSplit w:val="0"/>
                <w:tblHeader w:val="0"/>
              </w:trPr>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18"/>
                      <w:szCs w:val="18"/>
                      <w:rtl w:val="0"/>
                    </w:rPr>
                    <w:t xml:space="preserve">Neurological Condition</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1a1a1a"/>
                      <w:sz w:val="18"/>
                      <w:szCs w:val="18"/>
                      <w:rtl w:val="0"/>
                    </w:rPr>
                    <w:t xml:space="preserve">Migraine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1e5631"/>
                      <w:sz w:val="18"/>
                      <w:szCs w:val="18"/>
                      <w:rtl w:val="0"/>
                    </w:rPr>
                    <w:t xml:space="preserve">423,760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1a1a1a"/>
                      <w:sz w:val="18"/>
                      <w:szCs w:val="18"/>
                      <w:rtl w:val="0"/>
                    </w:rPr>
                    <w:t xml:space="preserve">Epilepsy &amp; Seizure Disorders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1e5631"/>
                      <w:sz w:val="18"/>
                      <w:szCs w:val="18"/>
                      <w:rtl w:val="0"/>
                    </w:rPr>
                    <w:t xml:space="preserve">142,728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1a1a1a"/>
                      <w:sz w:val="18"/>
                      <w:szCs w:val="18"/>
                      <w:rtl w:val="0"/>
                    </w:rPr>
                    <w:t xml:space="preserve">Parkinson's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e5631"/>
                      <w:sz w:val="18"/>
                      <w:szCs w:val="18"/>
                      <w:rtl w:val="0"/>
                    </w:rPr>
                    <w:t xml:space="preserve">66,597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1a1a1a"/>
                      <w:sz w:val="18"/>
                      <w:szCs w:val="18"/>
                      <w:rtl w:val="0"/>
                    </w:rPr>
                    <w:t xml:space="preserve">Mild Cognitive Impairment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e5631"/>
                      <w:sz w:val="18"/>
                      <w:szCs w:val="18"/>
                      <w:rtl w:val="0"/>
                    </w:rPr>
                    <w:t xml:space="preserve">62,653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1a1a1a"/>
                      <w:sz w:val="18"/>
                      <w:szCs w:val="18"/>
                      <w:rtl w:val="0"/>
                    </w:rPr>
                    <w:t xml:space="preserve">Alzheimer's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e5631"/>
                      <w:sz w:val="18"/>
                      <w:szCs w:val="18"/>
                      <w:rtl w:val="0"/>
                    </w:rPr>
                    <w:t xml:space="preserve">58,074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1a1a1a"/>
                      <w:sz w:val="18"/>
                      <w:szCs w:val="18"/>
                      <w:rtl w:val="0"/>
                    </w:rPr>
                    <w:t xml:space="preserve">Multiple Sclerosis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e5631"/>
                      <w:sz w:val="18"/>
                      <w:szCs w:val="18"/>
                      <w:rtl w:val="0"/>
                    </w:rPr>
                    <w:t xml:space="preserve">48,811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a1a1a"/>
                      <w:sz w:val="18"/>
                      <w:szCs w:val="18"/>
                      <w:rtl w:val="0"/>
                    </w:rPr>
                    <w:t xml:space="preserve">Rare Neurological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e5631"/>
                      <w:sz w:val="18"/>
                      <w:szCs w:val="18"/>
                      <w:rtl w:val="0"/>
                    </w:rPr>
                    <w:t xml:space="preserve">10,024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1a1a1a"/>
                      <w:sz w:val="18"/>
                      <w:szCs w:val="18"/>
                      <w:rtl w:val="0"/>
                    </w:rPr>
                    <w:t xml:space="preserve">Vascular Dementia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e5631"/>
                      <w:sz w:val="18"/>
                      <w:szCs w:val="18"/>
                      <w:rtl w:val="0"/>
                    </w:rPr>
                    <w:t xml:space="preserve">8,384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a1a1a"/>
                      <w:sz w:val="18"/>
                      <w:szCs w:val="18"/>
                      <w:rtl w:val="0"/>
                    </w:rPr>
                    <w:t xml:space="preserve">Lewy Body Dementia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e5631"/>
                      <w:sz w:val="18"/>
                      <w:szCs w:val="18"/>
                      <w:rtl w:val="0"/>
                    </w:rPr>
                    <w:t xml:space="preserve">3,720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a1a1a"/>
                      <w:sz w:val="18"/>
                      <w:szCs w:val="18"/>
                      <w:rtl w:val="0"/>
                    </w:rPr>
                    <w:t xml:space="preserve">Frontotemporal Dementia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1e5631"/>
                      <w:sz w:val="18"/>
                      <w:szCs w:val="18"/>
                      <w:rtl w:val="0"/>
                    </w:rPr>
                    <w:t xml:space="preserve">3,038</w:t>
                  </w:r>
                  <w:r w:rsidDel="00000000" w:rsidR="00000000" w:rsidRPr="00000000">
                    <w:rPr>
                      <w:rtl w:val="0"/>
                    </w:rPr>
                  </w:r>
                </w:p>
              </w:tc>
            </w:tr>
          </w:tbl>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Clinical Coverage</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Arial" w:cs="Arial" w:eastAsia="Arial" w:hAnsi="Arial"/>
                <w:color w:val="4a4a4a"/>
                <w:sz w:val="18"/>
                <w:szCs w:val="18"/>
                <w:rtl w:val="0"/>
              </w:rPr>
              <w:t xml:space="preserve">The table captures the full spectrum of neurological disease — from high-volume conditions like migraine and epilepsy through specialist dementia subtypes including Lewy body and frontotemporal dementia. With 62,653 MCI and 58,074 Alzheimer's patients in the same dataset, the table supports progression analysis from earliest cognitive presentation through confirmed diagnosis, with 7,149 patients documented progressing from MCI to Alzheimer's.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31">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Key Clinical Metrics</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tbl>
            <w:tblPr>
              <w:tblStyle w:val="Table5"/>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1600"/>
              <w:tblGridChange w:id="0">
                <w:tblGrid>
                  <w:gridCol w:w="2960"/>
                  <w:gridCol w:w="1600"/>
                </w:tblGrid>
              </w:tblGridChange>
            </w:tblGrid>
            <w:tr>
              <w:trPr>
                <w:cantSplit w:val="0"/>
                <w:tblHeader w:val="0"/>
              </w:trPr>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5">
                  <w:pPr>
                    <w:jc w:val="left"/>
                    <w:rPr/>
                  </w:pPr>
                  <w:r w:rsidDel="00000000" w:rsidR="00000000" w:rsidRPr="00000000">
                    <w:rPr>
                      <w:color w:val="1a1a1a"/>
                      <w:sz w:val="18"/>
                      <w:szCs w:val="18"/>
                      <w:rtl w:val="0"/>
                    </w:rPr>
                    <w:t xml:space="preserve">Average</w:t>
                  </w:r>
                  <w:r w:rsidDel="00000000" w:rsidR="00000000" w:rsidRPr="00000000">
                    <w:rPr>
                      <w:rFonts w:ascii="Arial" w:cs="Arial" w:eastAsia="Arial" w:hAnsi="Arial"/>
                      <w:b w:val="0"/>
                      <w:bCs w:val="0"/>
                      <w:color w:val="1a1a1a"/>
                      <w:sz w:val="18"/>
                      <w:szCs w:val="18"/>
                      <w:rtl w:val="0"/>
                    </w:rPr>
                    <w:t xml:space="preserve"> diagnoses per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1e5631"/>
                      <w:sz w:val="18"/>
                      <w:szCs w:val="18"/>
                      <w:rtl w:val="0"/>
                    </w:rPr>
                    <w:t xml:space="preserve">~17.1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37">
                  <w:pPr>
                    <w:jc w:val="left"/>
                    <w:rPr/>
                  </w:pPr>
                  <w:r w:rsidDel="00000000" w:rsidR="00000000" w:rsidRPr="00000000">
                    <w:rPr>
                      <w:color w:val="1a1a1a"/>
                      <w:sz w:val="18"/>
                      <w:szCs w:val="18"/>
                      <w:rtl w:val="0"/>
                    </w:rPr>
                    <w:t xml:space="preserve">Average</w:t>
                  </w:r>
                  <w:r w:rsidDel="00000000" w:rsidR="00000000" w:rsidRPr="00000000">
                    <w:rPr>
                      <w:rFonts w:ascii="Arial" w:cs="Arial" w:eastAsia="Arial" w:hAnsi="Arial"/>
                      <w:b w:val="0"/>
                      <w:bCs w:val="0"/>
                      <w:color w:val="1a1a1a"/>
                      <w:sz w:val="18"/>
                      <w:szCs w:val="18"/>
                      <w:rtl w:val="0"/>
                    </w:rPr>
                    <w:t xml:space="preserve"> diagnoses per encounter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1e5631"/>
                      <w:sz w:val="18"/>
                      <w:szCs w:val="18"/>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1a"/>
                      <w:sz w:val="18"/>
                      <w:szCs w:val="18"/>
                      <w:rtl w:val="0"/>
                    </w:rPr>
                    <w:t xml:space="preserve">Primary diagnoses (of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1e5631"/>
                      <w:sz w:val="18"/>
                      <w:szCs w:val="18"/>
                      <w:rtl w:val="0"/>
                    </w:rPr>
                    <w:t xml:space="preserve">24.97%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1a"/>
                      <w:sz w:val="18"/>
                      <w:szCs w:val="18"/>
                      <w:rtl w:val="0"/>
                    </w:rPr>
                    <w:t xml:space="preserve">Patients with 2+ neurological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1e5631"/>
                      <w:sz w:val="18"/>
                      <w:szCs w:val="18"/>
                      <w:rtl w:val="0"/>
                    </w:rPr>
                    <w:t xml:space="preserve">58,659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18"/>
                      <w:szCs w:val="18"/>
                      <w:rtl w:val="0"/>
                    </w:rPr>
                    <w:t xml:space="preserve">MCI patients progressing to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1e5631"/>
                      <w:sz w:val="18"/>
                      <w:szCs w:val="18"/>
                      <w:rtl w:val="0"/>
                    </w:rPr>
                    <w:t xml:space="preserve">7,149 (11.4%)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18"/>
                      <w:szCs w:val="18"/>
                      <w:rtl w:val="0"/>
                    </w:rPr>
                    <w:t xml:space="preserve">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1e5631"/>
                      <w:sz w:val="18"/>
                      <w:szCs w:val="18"/>
                      <w:rtl w:val="0"/>
                    </w:rPr>
                    <w:t xml:space="preserve">1990 – 2026</w:t>
                  </w:r>
                  <w:r w:rsidDel="00000000" w:rsidR="00000000" w:rsidRPr="00000000">
                    <w:rPr>
                      <w:rtl w:val="0"/>
                    </w:rPr>
                  </w:r>
                </w:p>
              </w:tc>
            </w:tr>
          </w:tbl>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Data Readiness</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tbl>
            <w:tblPr>
              <w:tblStyle w:val="Table6"/>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1600"/>
              <w:tblGridChange w:id="0">
                <w:tblGrid>
                  <w:gridCol w:w="2960"/>
                  <w:gridCol w:w="1600"/>
                </w:tblGrid>
              </w:tblGridChange>
            </w:tblGrid>
            <w:tr>
              <w:trPr>
                <w:cantSplit w:val="0"/>
                <w:tblHeader w:val="0"/>
              </w:trPr>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c>
                <w:tcPr>
                  <w:tcBorders>
                    <w:top w:color="1e5631" w:space="0" w:sz="4" w:val="single"/>
                    <w:left w:color="1e5631" w:space="0" w:sz="4" w:val="single"/>
                    <w:bottom w:color="1e5631" w:space="0" w:sz="4" w:val="single"/>
                    <w:right w:color="1e5631" w:space="0" w:sz="4" w:val="single"/>
                  </w:tcBorders>
                  <w:shd w:fill="1e5631" w:val="clear"/>
                  <w:tcMar>
                    <w:top w:w="80.0" w:type="dxa"/>
                    <w:left w:w="110.0" w:type="dxa"/>
                    <w:bottom w:w="80.0" w:type="dxa"/>
                    <w:right w:w="11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1a1a"/>
                      <w:sz w:val="18"/>
                      <w:szCs w:val="18"/>
                      <w:rtl w:val="0"/>
                    </w:rPr>
                    <w:t xml:space="preserve">Patient &amp; encounter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color w:val="1e5631"/>
                      <w:sz w:val="18"/>
                      <w:szCs w:val="18"/>
                      <w:rtl w:val="0"/>
                    </w:rPr>
                    <w:t xml:space="preserve">✓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a1a1a"/>
                      <w:sz w:val="18"/>
                      <w:szCs w:val="18"/>
                      <w:rtl w:val="0"/>
                    </w:rPr>
                    <w:t xml:space="preserve">Diagnosis code populated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1"/>
                      <w:bCs w:val="1"/>
                      <w:color w:val="1e5631"/>
                      <w:sz w:val="18"/>
                      <w:szCs w:val="18"/>
                      <w:rtl w:val="0"/>
                    </w:rPr>
                    <w:t xml:space="preserve">✓ 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1a1a"/>
                      <w:sz w:val="18"/>
                      <w:szCs w:val="18"/>
                      <w:rtl w:val="0"/>
                    </w:rPr>
                    <w:t xml:space="preserve">Standardised descriptions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b w:val="1"/>
                      <w:bCs w:val="1"/>
                      <w:color w:val="1e5631"/>
                      <w:sz w:val="18"/>
                      <w:szCs w:val="18"/>
                      <w:rtl w:val="0"/>
                    </w:rPr>
                    <w:t xml:space="preserve">✓ 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1a"/>
                      <w:sz w:val="18"/>
                      <w:szCs w:val="18"/>
                      <w:rtl w:val="0"/>
                    </w:rPr>
                    <w:t xml:space="preserve">Longitudinal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1"/>
                      <w:bCs w:val="1"/>
                      <w:color w:val="1e5631"/>
                      <w:sz w:val="18"/>
                      <w:szCs w:val="18"/>
                      <w:rtl w:val="0"/>
                    </w:rPr>
                    <w:t xml:space="preserve">✓ 1990–2026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1a"/>
                      <w:sz w:val="18"/>
                      <w:szCs w:val="18"/>
                      <w:rtl w:val="0"/>
                    </w:rPr>
                    <w:t xml:space="preserve">Duplicate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b7770d"/>
                      <w:sz w:val="18"/>
                      <w:szCs w:val="18"/>
                      <w:rtl w:val="0"/>
                    </w:rPr>
                    <w:t xml:space="preserve">~ 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1a"/>
                      <w:sz w:val="18"/>
                      <w:szCs w:val="18"/>
                      <w:rtl w:val="0"/>
                    </w:rPr>
                    <w:t xml:space="preserve">Source attribution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6f0" w:val="clear"/>
                  <w:tcMar>
                    <w:top w:w="70.0" w:type="dxa"/>
                    <w:left w:w="110.0" w:type="dxa"/>
                    <w:bottom w:w="70.0" w:type="dxa"/>
                    <w:right w:w="11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b7770d"/>
                      <w:sz w:val="18"/>
                      <w:szCs w:val="18"/>
                      <w:rtl w:val="0"/>
                    </w:rPr>
                    <w:t xml:space="preserve">~ 17.7%</w:t>
                  </w:r>
                  <w:r w:rsidDel="00000000" w:rsidR="00000000" w:rsidRPr="00000000">
                    <w:rPr>
                      <w:rtl w:val="0"/>
                    </w:rPr>
                  </w:r>
                </w:p>
              </w:tc>
            </w:tr>
          </w:tbl>
          <w:p w:rsidR="00000000" w:rsidDel="00000000" w:rsidP="00000000" w:rsidRDefault="00000000" w:rsidRPr="00000000" w14:paraId="00000052">
            <w:pPr>
              <w:spacing w:after="0" w:before="120" w:lineRule="auto"/>
              <w:rPr/>
            </w:pPr>
            <w:r w:rsidDel="00000000" w:rsidR="00000000" w:rsidRPr="00000000">
              <w:rPr>
                <w:rtl w:val="0"/>
              </w:rPr>
            </w:r>
          </w:p>
          <w:p w:rsidR="00000000" w:rsidDel="00000000" w:rsidP="00000000" w:rsidRDefault="00000000" w:rsidRPr="00000000" w14:paraId="00000053">
            <w:pPr>
              <w:pBdr>
                <w:bottom w:color="1e5631" w:space="4" w:sz="4" w:val="single"/>
              </w:pBdr>
              <w:spacing w:after="80" w:before="0" w:lineRule="auto"/>
              <w:rPr/>
            </w:pPr>
            <w:r w:rsidDel="00000000" w:rsidR="00000000" w:rsidRPr="00000000">
              <w:rPr>
                <w:rFonts w:ascii="Arial" w:cs="Arial" w:eastAsia="Arial" w:hAnsi="Arial"/>
                <w:b w:val="1"/>
                <w:bCs w:val="1"/>
                <w:color w:val="1e5631"/>
                <w:sz w:val="22"/>
                <w:szCs w:val="22"/>
                <w:rtl w:val="0"/>
              </w:rPr>
              <w:t xml:space="preserve">What This Enables</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pacing w:after="60" w:before="0" w:lineRule="auto"/>
              <w:rPr/>
            </w:pPr>
            <w:r w:rsidDel="00000000" w:rsidR="00000000" w:rsidRPr="00000000">
              <w:rPr>
                <w:rFonts w:ascii="Arial" w:cs="Arial" w:eastAsia="Arial" w:hAnsi="Arial"/>
                <w:color w:val="4a4a4a"/>
                <w:sz w:val="18"/>
                <w:szCs w:val="18"/>
                <w:rtl w:val="0"/>
              </w:rPr>
              <w:t xml:space="preserve">Cohort construction across all major neurological conditions. Longitudinal progression analysis from MCI through Alzheimer's disease. Co-morbidity profiling across 58,659 patients with multiple neurological diagnoses. Real-world evidence generation across 36 years of clinical records spanning both ICD-9 and ICD-10 coding eras. Source attribution gaps (~17.7%) and duplicate records (~12%) are under review.</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460" w:top="460" w:left="680" w:right="6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color="cccccc" w:space="3" w:sz="4" w:val="single"/>
      </w:pBdr>
      <w:tabs>
        <w:tab w:val="right" w:leader="none" w:pos="9026"/>
      </w:tabs>
      <w:spacing w:after="0" w:before="80" w:lineRule="auto"/>
      <w:rPr/>
    </w:pPr>
    <w:r w:rsidDel="00000000" w:rsidR="00000000" w:rsidRPr="00000000">
      <w:rPr>
        <w:rFonts w:ascii="Arial" w:cs="Arial" w:eastAsia="Arial" w:hAnsi="Arial"/>
        <w:color w:val="888888"/>
        <w:sz w:val="14"/>
        <w:szCs w:val="14"/>
        <w:rtl w:val="0"/>
      </w:rPr>
      <w:t xml:space="preserve">rgd_udm_silver</w:t>
    </w:r>
    <w:r w:rsidDel="00000000" w:rsidR="00000000" w:rsidRPr="00000000">
      <w:rPr>
        <w:color w:val="888888"/>
        <w:sz w:val="14"/>
        <w:szCs w:val="14"/>
        <w:rtl w:val="0"/>
      </w:rPr>
      <w:t xml:space="preserve">.diagnosis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bottom w:color="1e5631" w:space="3" w:sz="5" w:val="single"/>
      </w:pBdr>
      <w:tabs>
        <w:tab w:val="right" w:leader="none" w:pos="9026"/>
      </w:tabs>
      <w:spacing w:after="80" w:before="0" w:lineRule="auto"/>
      <w:rPr/>
    </w:pPr>
    <w:r w:rsidDel="00000000" w:rsidR="00000000" w:rsidRPr="00000000">
      <w:rPr>
        <w:rFonts w:ascii="Arial" w:cs="Arial" w:eastAsia="Arial" w:hAnsi="Arial"/>
        <w:b w:val="1"/>
        <w:bCs w:val="1"/>
        <w:color w:val="1f3864"/>
        <w:sz w:val="18"/>
        <w:szCs w:val="18"/>
        <w:rtl w:val="0"/>
      </w:rPr>
      <w:t xml:space="preserve">Diagnosis </w:t>
    </w:r>
    <w:r w:rsidDel="00000000" w:rsidR="00000000" w:rsidRPr="00000000">
      <w:rPr>
        <w:b w:val="1"/>
        <w:bCs w:val="1"/>
        <w:color w:val="1f3864"/>
        <w:sz w:val="18"/>
        <w:szCs w:val="18"/>
        <w:rtl w:val="0"/>
      </w:rPr>
      <w:t xml:space="preserve">Table </w:t>
    </w:r>
    <w:r w:rsidDel="00000000" w:rsidR="00000000" w:rsidRPr="00000000">
      <w:rPr>
        <w:rFonts w:ascii="Arial" w:cs="Arial" w:eastAsia="Arial" w:hAnsi="Arial"/>
        <w:b w:val="1"/>
        <w:bCs w:val="1"/>
        <w:color w:val="1f3864"/>
        <w:sz w:val="18"/>
        <w:szCs w:val="18"/>
        <w:rtl w:val="0"/>
      </w:rPr>
      <w:t xml:space="preserve">Snapshot  —  rgd_udm_silver                                                                  </w:t>
    </w:r>
    <w:r w:rsidDel="00000000" w:rsidR="00000000" w:rsidRPr="00000000">
      <w:rPr>
        <w:rFonts w:ascii="Arial" w:cs="Arial" w:eastAsia="Arial" w:hAnsi="Arial"/>
        <w:color w:val="888888"/>
        <w:sz w:val="15"/>
        <w:szCs w:val="15"/>
        <w:rtl w:val="0"/>
      </w:rPr>
      <w:t xml:space="preserve">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