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9B99" w14:textId="77777777" w:rsidR="00E8421B" w:rsidRDefault="00FE2928">
      <w:pPr>
        <w:pStyle w:val="Title"/>
      </w:pPr>
      <w:r>
        <w:t>About the Supply Chain Greenhouse Gas Emission Factors v1.3 NAICS-6 Datasets</w:t>
      </w:r>
    </w:p>
    <w:p w14:paraId="1357F827" w14:textId="77777777" w:rsidR="00E8421B" w:rsidRDefault="00FE2928">
      <w:pPr>
        <w:pStyle w:val="Author"/>
      </w:pPr>
      <w:r>
        <w:t>Wesley Ingwersen</w:t>
      </w:r>
      <w:r>
        <w:rPr>
          <w:rStyle w:val="FootnoteReference"/>
        </w:rPr>
        <w:footnoteReference w:id="1"/>
      </w:r>
    </w:p>
    <w:p w14:paraId="30D7B328" w14:textId="30BE81CD" w:rsidR="00E8421B" w:rsidRDefault="00FE2928">
      <w:pPr>
        <w:pStyle w:val="Date"/>
      </w:pPr>
      <w:r>
        <w:t>J</w:t>
      </w:r>
      <w:r w:rsidR="008C05E4">
        <w:t>u</w:t>
      </w:r>
      <w:r>
        <w:t>ly 5, 2024</w:t>
      </w:r>
    </w:p>
    <w:p w14:paraId="5E00C7D7" w14:textId="77777777" w:rsidR="00E8421B" w:rsidRDefault="00FE2928">
      <w:pPr>
        <w:pStyle w:val="Heading1"/>
      </w:pPr>
      <w:bookmarkStart w:id="0" w:name="summary"/>
      <w:r>
        <w:t>Summary</w:t>
      </w:r>
    </w:p>
    <w:p w14:paraId="5EFF79CA" w14:textId="77777777" w:rsidR="00E8421B" w:rsidRDefault="00FE2928">
      <w:pPr>
        <w:pStyle w:val="FirstParagraph"/>
      </w:pPr>
      <w:r>
        <w:t xml:space="preserve">This document describes the Supply Chain Greenhouse Gas Emission Factors v1.3.0 NAICS-6 U.S. commodity datasets. Just like for the </w:t>
      </w:r>
      <w:r>
        <w:t>previous version, v1.2, the datasets comprise greenhouse gas (GHG) emission factors (Factors) for 1,016 U.S. commodities as defined by the 2017 version of the North American Industry Classification System (NAICS). However, a number of core updates were mad</w:t>
      </w:r>
      <w:r>
        <w:t xml:space="preserve">e: (1) the Factors are built with U.S. GHG emission data for 2022, (2) IPCC AR5 global warming potentials are used instead of AR4, (3) the underlying economic input-output model was updated to the 2017 benchmark, and (4) and the direct GHG emission sector </w:t>
      </w:r>
      <w:r>
        <w:t>attribution model was updated.</w:t>
      </w:r>
    </w:p>
    <w:p w14:paraId="09F02FCD" w14:textId="77777777" w:rsidR="00E8421B" w:rsidRDefault="00FE2928">
      <w:pPr>
        <w:pStyle w:val="BodyText"/>
      </w:pPr>
      <w:r>
        <w:t>Factors are given for all NAICS-defined commodities at the 6-digit level except for electricity, government, and households. Each record consists of three factor types as in the previous releases: Supply Chain Emissions witho</w:t>
      </w:r>
      <w:r>
        <w:t>ut Margins (SEF), Margins of Supply Chain Emissions (MEF), and Supply Chain Emissions with Margins (SEF+MEF). One set of Factors provides kg carbon dioxide equivalents (CO2e) per 2022 U.S. dollar (USD) for all GHGs combined using 100-yr global warming pote</w:t>
      </w:r>
      <w:r>
        <w:t>ntials to calculate the equivalents. In this dataset there is one SEF, MEF and SEF+MEF per commodity. The other dataset of Factors provides kg of each unique GHG emitted per 2022 dollar per commodity without the CO2e calculation. The dollar in the denomina</w:t>
      </w:r>
      <w:r>
        <w:t>tor of all factors uses purchaser prices.</w:t>
      </w:r>
    </w:p>
    <w:p w14:paraId="5E6670C9" w14:textId="77777777" w:rsidR="00E8421B" w:rsidRDefault="00FE2928">
      <w:pPr>
        <w:pStyle w:val="Heading1"/>
      </w:pPr>
      <w:bookmarkStart w:id="1" w:name="background"/>
      <w:bookmarkEnd w:id="0"/>
      <w:r>
        <w:t>Background</w:t>
      </w:r>
    </w:p>
    <w:p w14:paraId="1B01BA65" w14:textId="77777777" w:rsidR="00E8421B" w:rsidRDefault="00FE2928">
      <w:pPr>
        <w:pStyle w:val="FirstParagraph"/>
      </w:pPr>
      <w:r>
        <w:t>The Supply Chain GHG Emission Factors estimate the GHG emissions indirectly and directly associated with a U.S. commodity or industry per dollar value over specific life cycle phases (Ingwersen and Li, 2</w:t>
      </w:r>
      <w:r>
        <w:t>020a). Sets of these Factors were originally published for years 2010-2016 and subsequently revised twice (Ingwersen and Li, 2020b; W. W. Ingwersen and Li, 2022, 2022-03-07). The v1.2 dataset, which was based on the 2019 GHG data, was released in 2023 (Ing</w:t>
      </w:r>
      <w:r>
        <w:t>wersen, 2023).</w:t>
      </w:r>
    </w:p>
    <w:p w14:paraId="2C587355" w14:textId="77777777" w:rsidR="00E8421B" w:rsidRDefault="00FE2928">
      <w:pPr>
        <w:pStyle w:val="BodyText"/>
      </w:pPr>
      <w:r>
        <w:lastRenderedPageBreak/>
        <w:t>The Factors are created using a combination of two models - a sector attribution model for GHGs (SAM-GHG, formerly referred to as the National GHG Industry Attribution Model), and the U.S. Environmentally-Extended Input-Output (USEEIO) model</w:t>
      </w:r>
      <w:r>
        <w:t>. The SAM-GHG produces totals of the direct emissions by detailed industries and is used as an input into a selected USEEIO model. The USEEIO model produces the direct and then indirect emission intensities following data year adjustments and calculations.</w:t>
      </w:r>
      <w:r>
        <w:t xml:space="preserve"> The final factors are adjusted to reflect purchaser prices, which are useful with expenditure data.</w:t>
      </w:r>
    </w:p>
    <w:p w14:paraId="584D5806" w14:textId="77777777" w:rsidR="00E8421B" w:rsidRDefault="00FE2928">
      <w:pPr>
        <w:pStyle w:val="BodyText"/>
      </w:pPr>
      <w:r>
        <w:t>The first set of Factors described here, which are in CO2e, was created specifically at the request of the General Services Administration for use in estim</w:t>
      </w:r>
      <w:r>
        <w:t>ating the Scope 3 GHG footprint of federal agencies. The Factors are intended for reporting GHGs embodied in purchases or what is referred to in the GHG Protocol standards as Scope 3, category 1 “Purchased goods and services” and category 2 “Capital goods”</w:t>
      </w:r>
      <w:r>
        <w:t xml:space="preserve"> (USEPA, 2024; WRI and WBCSD, 2013). Some may choose to use them for other Scope 3 categories as well. The second set of Factors, provided by gas, are complimentary data that enable greater flexibility and resolution in accounting and reporting GHGs. Provi</w:t>
      </w:r>
      <w:r>
        <w:t>ding factors by gas allows users to track and report GHGs in expenditure data per gas. Leaving the gases in kg of mass allows users to choose global warming potentials of their choice in performing CO2e calculations.</w:t>
      </w:r>
    </w:p>
    <w:p w14:paraId="2A36B759" w14:textId="77777777" w:rsidR="00E8421B" w:rsidRDefault="00FE2928">
      <w:pPr>
        <w:pStyle w:val="BodyText"/>
      </w:pPr>
      <w:r>
        <w:t xml:space="preserve">The Factors are primarily intended for </w:t>
      </w:r>
      <w:r>
        <w:t>use in Scope 3 GHG accounting and reporting. They complement other GHG emission factors provided by the USEPA in the Emission Factor Hub for use in Scope 1 and 2 reporting. The basic use of the Factors is to match a Factor category with an item that has be</w:t>
      </w:r>
      <w:r>
        <w:t>en purchased and multiply the respective Factor by the dollar amount spent. Such a calculation will result in direct and indirect GHG emissions associated with the given USD amount of a good or service.</w:t>
      </w:r>
    </w:p>
    <w:p w14:paraId="10248AA8" w14:textId="77777777" w:rsidR="00E8421B" w:rsidRDefault="00FE2928">
      <w:pPr>
        <w:pStyle w:val="Heading1"/>
      </w:pPr>
      <w:bookmarkStart w:id="2" w:name="methods"/>
      <w:bookmarkEnd w:id="1"/>
      <w:r>
        <w:t>Methods</w:t>
      </w:r>
    </w:p>
    <w:p w14:paraId="64E800C8" w14:textId="77777777" w:rsidR="00E8421B" w:rsidRDefault="00FE2928">
      <w:pPr>
        <w:pStyle w:val="FirstParagraph"/>
      </w:pPr>
      <w:r>
        <w:t>The Factors are derived using the methodology</w:t>
      </w:r>
      <w:r>
        <w:t xml:space="preserve"> described in the 2020 report (Ingwersen and Li, 2020a), except where noted here.</w:t>
      </w:r>
    </w:p>
    <w:p w14:paraId="3372E9E0" w14:textId="77777777" w:rsidR="00E8421B" w:rsidRDefault="00FE2928">
      <w:pPr>
        <w:pStyle w:val="BodyText"/>
      </w:pPr>
      <w:r>
        <w:t>The Factors are constructed using a more recent SAM-GHG model by NAICS-6 Industry (Young et al., 2024) that was applied to GHG emissions for year 2022 given by the most recen</w:t>
      </w:r>
      <w:r>
        <w:t>t U.S. Greenhouse Gas Inventory (U.S. Environmental Protection Agency, 2024). This dataset includes emissions totals for carbon dioxide, methane, nitrous Oxide, carbon tetrafluoride, HFC-125, HFC-134a, HFC-143a, HFC-236fa, HFC-32, sulfur hexafluoride, HFC-</w:t>
      </w:r>
      <w:r>
        <w:t>23, hexafluoroethane, nitrogen trifluoride, perfluorocyclobutane, and perfluoropropane. All of these GHGs are used in Factor construction.</w:t>
      </w:r>
    </w:p>
    <w:p w14:paraId="5A82FB75" w14:textId="77777777" w:rsidR="00E8421B" w:rsidRDefault="00FE2928">
      <w:pPr>
        <w:pStyle w:val="BodyText"/>
      </w:pPr>
      <w:r>
        <w:t>Standard names for the GHGs are taken from the Federal LCA Commons Elementary Flow List (FEDEFL) v1.1.2 (Ingwersen et</w:t>
      </w:r>
      <w:r>
        <w:t xml:space="preserve"> al., 2021).</w:t>
      </w:r>
    </w:p>
    <w:p w14:paraId="6DF5A379" w14:textId="77777777" w:rsidR="00E8421B" w:rsidRDefault="00FE2928">
      <w:pPr>
        <w:pStyle w:val="BodyText"/>
      </w:pPr>
      <w:r>
        <w:t>The USEEIO model created, USEEIO v2.2.22-GHG,is a commodity-based model, with a total requirements matrix prepared using the same modeling assumptions used for USEEIO v2.0 (Ingwersen et al., 2022). The economic components of the USEEIO model w</w:t>
      </w:r>
      <w:r>
        <w:t xml:space="preserve">ere updated to </w:t>
      </w:r>
      <w:r>
        <w:lastRenderedPageBreak/>
        <w:t>use the 2017 benchmark detailed Make and Use tables, which became available as part of the 2023 comprehensive industry account updates (BEA, 2023).</w:t>
      </w:r>
    </w:p>
    <w:p w14:paraId="038D4F59" w14:textId="77777777" w:rsidR="00E8421B" w:rsidRDefault="00FE2928">
      <w:pPr>
        <w:pStyle w:val="BodyText"/>
      </w:pPr>
      <w:r>
        <w:t>v1.3 does not have unique Factors for different sub-industries of the Waste and Remediation s</w:t>
      </w:r>
      <w:r>
        <w:t>ectors, for example for landfills. Waste sub-industry detail was provided for USEEIO v2.0 and for the v1.2 Factors, because data were available for disaggregation of the waste sector for the underlying 2012 detailed input-output tables. Equivalent data for</w:t>
      </w:r>
      <w:r>
        <w:t xml:space="preserve"> disaggregation of the Waste and Remediation sector for the 2017 IO tables were not available in time to provide v1.3 Factors.</w:t>
      </w:r>
    </w:p>
    <w:p w14:paraId="5F29BC82" w14:textId="77777777" w:rsidR="00E8421B" w:rsidRDefault="00FE2928">
      <w:pPr>
        <w:pStyle w:val="BodyText"/>
      </w:pPr>
      <w:r>
        <w:t>For one set of Factors, the 100-yr global warming potentials (GWPs) from the IPCC 5th Assessment report (AR5) are used to convert</w:t>
      </w:r>
      <w:r>
        <w:t xml:space="preserve"> GHGs into CO2e (IPCC, 2014). The dataset of the GWPs used was part of a release of IPCC GWPs from the 4th through the 6th report (Young et al., 2023). These GWPs in the form of characterization factors that have already been aligned with the FEDEFL. These</w:t>
      </w:r>
      <w:r>
        <w:t xml:space="preserve"> Factors are derived from the raw N matrix of the underlying USEEIO model. The N matrix contains indirect plus direct CO2e per commodity in kgCO2e per USD. The other set of Factors that are presented in kg per GHG are drawn from the M matrix. The M matrix </w:t>
      </w:r>
      <w:r>
        <w:t>contains indirect plus direct GHGs by gas per commodity in kg GHG per USD. The M and N matrices are further described in the USEEIO v2.0 documentation (Ingwersen et al., 2022).</w:t>
      </w:r>
    </w:p>
    <w:p w14:paraId="5F31A363" w14:textId="77777777" w:rsidR="00E8421B" w:rsidRDefault="00FE2928">
      <w:pPr>
        <w:pStyle w:val="BodyText"/>
      </w:pPr>
      <w:r>
        <w:t>The raw values from the underlying USEEIO model M or N matrices are adjusted to</w:t>
      </w:r>
      <w:r>
        <w:t xml:space="preserve"> be in purchaser prices in 2022 USD using the model </w:t>
      </w:r>
      <m:oMath>
        <m:r>
          <w:rPr>
            <w:rFonts w:ascii="Cambria Math" w:hAnsi="Cambria Math"/>
          </w:rPr>
          <m:t>Φ</m:t>
        </m:r>
      </m:oMath>
      <w:r>
        <w:t xml:space="preserve"> and </w:t>
      </w:r>
      <m:oMath>
        <m:r>
          <w:rPr>
            <w:rFonts w:ascii="Cambria Math" w:hAnsi="Cambria Math"/>
          </w:rPr>
          <m:t>ρ</m:t>
        </m:r>
      </m:oMath>
      <w:r>
        <w:t xml:space="preserve"> matrices in previously described procedures (Ingwersen and Li, 2020a).</w:t>
      </w:r>
      <w:r>
        <w:br/>
        <w:t>Commodities for which all factors have 0 values are dropped. Factors for USEEIO sectors representing government (G*), speci</w:t>
      </w:r>
      <w:r>
        <w:t>al sectors used for input-output table balances (S*), and those for the electricity sector (221100) are dropped. Government sectors were not needed for the designated use case, and electricity factors were dropped because estimation of GHG emissions from e</w:t>
      </w:r>
      <w:r>
        <w:t>lectricity is part of Scope 2 in the GHG Protocol, and these factors are intended, as specified above, for limited applications in Scope 3 accounting. The remaining factors are mapped from USEEIO code to NAICS 2017 6-digit codes (U.S. Census Bureau, 2021).</w:t>
      </w:r>
      <w:r>
        <w:t xml:space="preserve"> Where more than one USEEIO code maps to a single NAICS 2017 sector, an monetary output-weighted approach is used to average the factors using the commodity output for the target year of 2022 as the weighting factor.</w:t>
      </w:r>
    </w:p>
    <w:p w14:paraId="0E55F6D8" w14:textId="77777777" w:rsidR="00E8421B" w:rsidRDefault="00FE2928">
      <w:pPr>
        <w:pStyle w:val="BodyText"/>
      </w:pPr>
      <w:r>
        <w:t xml:space="preserve">Model validation checks were performed </w:t>
      </w:r>
      <w:r>
        <w:t>for the USEEIO model underlying these Factors, following the same economic and environmental flows validation procedures used to validate the USEEIO v2.0 model (Ingwersen et al., 2022).</w:t>
      </w:r>
    </w:p>
    <w:p w14:paraId="12EB62D6" w14:textId="77777777" w:rsidR="00E8421B" w:rsidRDefault="00FE2928">
      <w:pPr>
        <w:pStyle w:val="BodyText"/>
      </w:pPr>
      <w:r>
        <w:t>A comparison of the Factors to the previous version (v1.2) (Ingwersen,</w:t>
      </w:r>
      <w:r>
        <w:t xml:space="preserve"> 2023) was performed. In order to compare the Factors, the following steps were taken:</w:t>
      </w:r>
    </w:p>
    <w:p w14:paraId="6B3B5F37" w14:textId="77777777" w:rsidR="00E8421B" w:rsidRDefault="00FE2928">
      <w:pPr>
        <w:pStyle w:val="Compact"/>
        <w:numPr>
          <w:ilvl w:val="0"/>
          <w:numId w:val="2"/>
        </w:numPr>
      </w:pPr>
      <w:r>
        <w:t>Factors were associated with their unique USEEIO codes (rather than the NAICS-6).</w:t>
      </w:r>
    </w:p>
    <w:p w14:paraId="5FC0B904" w14:textId="77777777" w:rsidR="00E8421B" w:rsidRDefault="00FE2928">
      <w:pPr>
        <w:pStyle w:val="Compact"/>
        <w:numPr>
          <w:ilvl w:val="0"/>
          <w:numId w:val="2"/>
        </w:numPr>
      </w:pPr>
      <w:r>
        <w:t>Waste sector Factors (562*) were removed because of a difference in classification in t</w:t>
      </w:r>
      <w:r>
        <w:t>he underlying USEEIO models used.</w:t>
      </w:r>
    </w:p>
    <w:p w14:paraId="7F86A7FD" w14:textId="77777777" w:rsidR="00E8421B" w:rsidRDefault="00FE2928">
      <w:pPr>
        <w:pStyle w:val="FirstParagraph"/>
      </w:pPr>
      <w:r>
        <w:t xml:space="preserve">The dollar years in the denominator of v1.3.0 and v1.2 are different – v1.3.0 Factors use 2022 USD, v1.2 factors use 2021 USD. However, this difference was left as is for this </w:t>
      </w:r>
      <w:r>
        <w:lastRenderedPageBreak/>
        <w:t>comparison, since the objective was to show th</w:t>
      </w:r>
      <w:r>
        <w:t>e difference between published versions without further adjustment.</w:t>
      </w:r>
    </w:p>
    <w:p w14:paraId="6BE7976F" w14:textId="77777777" w:rsidR="00E8421B" w:rsidRDefault="00FE2928">
      <w:pPr>
        <w:pStyle w:val="Heading1"/>
      </w:pPr>
      <w:bookmarkStart w:id="3" w:name="results"/>
      <w:bookmarkEnd w:id="2"/>
      <w:r>
        <w:t>Results</w:t>
      </w:r>
    </w:p>
    <w:p w14:paraId="59D0C8B4" w14:textId="5565728D" w:rsidR="006A66D7" w:rsidRDefault="006A66D7">
      <w:pPr>
        <w:pStyle w:val="FirstParagraph"/>
      </w:pPr>
      <w:r>
        <w:t>All tables can be found at the end of the text.</w:t>
      </w:r>
    </w:p>
    <w:p w14:paraId="2EA96759" w14:textId="16FF4397" w:rsidR="00E8421B" w:rsidRDefault="00FE2928">
      <w:pPr>
        <w:pStyle w:val="FirstParagraph"/>
      </w:pPr>
      <w:r>
        <w:t xml:space="preserve">The dataset provides sets of factors including Supply Chain Emissions Factors (SEFs), Margin Emission Factors (MEFs), and </w:t>
      </w:r>
      <w:r>
        <w:t>Supply Chain Emission Factors + Margin Emission Factors (SEF+MEF) for commodities defined by unique 2017 6-digit NAICS codes. These represent 353 unique sets (SEF, MEF, SEF+MEF) of factors.</w:t>
      </w:r>
    </w:p>
    <w:p w14:paraId="33EE9C12" w14:textId="458405E6" w:rsidR="00E8421B" w:rsidRDefault="00FE2928">
      <w:pPr>
        <w:pStyle w:val="BodyText"/>
      </w:pPr>
      <w:r>
        <w:t xml:space="preserve">Table </w:t>
      </w:r>
      <w:r w:rsidR="008C05E4">
        <w:t>1</w:t>
      </w:r>
      <w:r>
        <w:t xml:space="preserve"> shows the distributions of the SEFS, MEFs, and combined Fa</w:t>
      </w:r>
      <w:r>
        <w:t>ctors. Among non-zero factors, the range of factor values is 0.029 - 3.924 kg CO2e/$, with a median value of 0.173 and a mean of 0.2819 indicating that most combined factors are &lt; 0.2819 kg CO2e/$. 75% of SEFs are less than 0.32925 kg CO2e per USD. MEFs ar</w:t>
      </w:r>
      <w:r>
        <w:t>e non-zero for 45% of commodities. MEFs are in all cases less than the corresponding SEFS, and therefore the SEFs+MEFs are most influenced by the corresponding SEF.</w:t>
      </w:r>
    </w:p>
    <w:p w14:paraId="1E808E6A" w14:textId="6DCCDE97" w:rsidR="00E8421B" w:rsidRDefault="00FE2928">
      <w:pPr>
        <w:pStyle w:val="BodyText"/>
      </w:pPr>
      <w:r>
        <w:t xml:space="preserve">Table </w:t>
      </w:r>
      <w:r w:rsidR="008C05E4" w:rsidRPr="008C05E4">
        <w:t>2</w:t>
      </w:r>
      <w:r>
        <w:t xml:space="preserve"> lists the 20 highest Factors.</w:t>
      </w:r>
    </w:p>
    <w:p w14:paraId="1EB5BEFD" w14:textId="77777777" w:rsidR="00E8421B" w:rsidRDefault="00FE2928">
      <w:pPr>
        <w:pStyle w:val="BodyText"/>
      </w:pPr>
      <w:r>
        <w:t xml:space="preserve">The largest combined factor is for </w:t>
      </w:r>
      <w:r>
        <w:rPr>
          <w:i/>
          <w:iCs/>
        </w:rPr>
        <w:t>Cement Manufacturi</w:t>
      </w:r>
      <w:r>
        <w:rPr>
          <w:i/>
          <w:iCs/>
        </w:rPr>
        <w:t>ng</w:t>
      </w:r>
      <w:r>
        <w:t xml:space="preserve"> (327310); the next largest factors are for </w:t>
      </w:r>
      <w:r>
        <w:rPr>
          <w:i/>
          <w:iCs/>
        </w:rPr>
        <w:t>Cattle farming and feedlot</w:t>
      </w:r>
      <w:r>
        <w:t xml:space="preserve"> sectors (112*), followed by </w:t>
      </w:r>
      <w:r>
        <w:rPr>
          <w:i/>
          <w:iCs/>
        </w:rPr>
        <w:t>Lime and Gypsum manufacturing</w:t>
      </w:r>
      <w:r>
        <w:t xml:space="preserve"> (3274*) sectors and </w:t>
      </w:r>
      <w:r>
        <w:rPr>
          <w:i/>
          <w:iCs/>
        </w:rPr>
        <w:t>Pipeline transportation</w:t>
      </w:r>
      <w:r>
        <w:t xml:space="preserve"> (486*). Other animal raising and chemical products round out the top 20.</w:t>
      </w:r>
    </w:p>
    <w:p w14:paraId="3D6CB60B" w14:textId="77777777" w:rsidR="00E8421B" w:rsidRDefault="00FE2928">
      <w:pPr>
        <w:pStyle w:val="BodyText"/>
      </w:pPr>
      <w:r>
        <w:t>The unde</w:t>
      </w:r>
      <w:r>
        <w:t>rlying USEEIO model passed model validation checks, including the check that the total GHGs per industry can be recalculated from the model using total US production in the demand vector, using Equation 28 in Ingwersen et al. (2022).</w:t>
      </w:r>
    </w:p>
    <w:p w14:paraId="0E909E70" w14:textId="77777777" w:rsidR="00E8421B" w:rsidRDefault="00FE2928">
      <w:pPr>
        <w:pStyle w:val="Heading2"/>
      </w:pPr>
      <w:bookmarkStart w:id="4" w:name="comparison-to-previous-factors"/>
      <w:r>
        <w:t>Comparison to Previous</w:t>
      </w:r>
      <w:r>
        <w:t xml:space="preserve"> Factors</w:t>
      </w:r>
    </w:p>
    <w:p w14:paraId="5D1AEB61" w14:textId="77777777" w:rsidR="00E8421B" w:rsidRDefault="00FE2928">
      <w:pPr>
        <w:pStyle w:val="FirstParagraph"/>
      </w:pPr>
      <w:r>
        <w:t>We compared the SEFs with the previous release based on common USEEIO codes. 1016 USEEIO codes were in common between the underlying models for v1.2 and v1.3.0, and SEFs based on these codes were compared.</w:t>
      </w:r>
    </w:p>
    <w:p w14:paraId="6CC4C705" w14:textId="46ACA92A" w:rsidR="00E8421B" w:rsidRDefault="00FE2928">
      <w:pPr>
        <w:pStyle w:val="BodyText"/>
      </w:pPr>
      <w:r>
        <w:t xml:space="preserve">Table </w:t>
      </w:r>
      <w:r w:rsidR="008C05E4">
        <w:t>3</w:t>
      </w:r>
      <w:r>
        <w:t xml:space="preserve"> shows a statistical summary of the relative change both for the factors in CO2e and for the factors by gas for the Supply Chain Emission Factors with Margins. Data are shown as fractional change.</w:t>
      </w:r>
    </w:p>
    <w:p w14:paraId="54140267" w14:textId="77777777" w:rsidR="00E8421B" w:rsidRDefault="00FE2928">
      <w:pPr>
        <w:pStyle w:val="BodyText"/>
      </w:pPr>
      <w:r>
        <w:t>The median change in the CO2e SEFs was -18%. 75% of the SEF</w:t>
      </w:r>
      <w:r>
        <w:t>s The majority of SEFs for carbon dioxide have decreased between 8 % and 32 %, with a median value of change being -19. Methane and nitrous oxide SEFs have on average decreased as well. Methane has decreased for most SEFs between 19 % and 38 %. Nitrous oxi</w:t>
      </w:r>
      <w:r>
        <w:t>de has decreased for most SEFs between -8% and 26%.</w:t>
      </w:r>
    </w:p>
    <w:p w14:paraId="4864024B" w14:textId="77777777" w:rsidR="00E8421B" w:rsidRDefault="00FE2928">
      <w:pPr>
        <w:pStyle w:val="BodyText"/>
      </w:pPr>
      <w:r>
        <w:t>Of the 1016 Supply Chain Emission Factors with Margins, 139 increased by more than 5%, and 796 decreased by more than 5%.</w:t>
      </w:r>
    </w:p>
    <w:p w14:paraId="3FB8D309" w14:textId="3EB75244" w:rsidR="00E8421B" w:rsidRDefault="00FE23A0">
      <w:pPr>
        <w:pStyle w:val="BodyText"/>
      </w:pPr>
      <w:r w:rsidRPr="00FE23A0">
        <w:lastRenderedPageBreak/>
        <w:t xml:space="preserve">Table 4 </w:t>
      </w:r>
      <w:r>
        <w:t>and Table 5 show the commodities with the greatest increase and decreased in their SEF+MEF. The waste sectors commodities changed significantly due to the absence of waste disaggregation in the USEEIOv2.2.22-GHG model used in comparison with the USEEIOv2.1.19-GHG model. In the current version all NAICS sectors starting with 562* have the same Factors. The agricultural and mining sector Factor decreases are most driven by economic output from 2019 to 2022 increasing more than GHG emissions.</w:t>
      </w:r>
    </w:p>
    <w:p w14:paraId="279B0672" w14:textId="77777777" w:rsidR="00E8421B" w:rsidRDefault="00FE2928">
      <w:pPr>
        <w:pStyle w:val="BodyText"/>
      </w:pPr>
      <w:r>
        <w:t>Data on change by commodity, GHG for each SEF type are provided in the RelativeChangefromv1</w:t>
      </w:r>
      <w:r>
        <w:t>.2tov1.3.0inSEFsinCO2e.csv and RelativeChangefromv1.2tov1.3.0inSEFsbyGHG.csv supporting documents.</w:t>
      </w:r>
    </w:p>
    <w:p w14:paraId="01530BCD" w14:textId="77777777" w:rsidR="00E8421B" w:rsidRDefault="00FE2928">
      <w:pPr>
        <w:pStyle w:val="Heading1"/>
      </w:pPr>
      <w:bookmarkStart w:id="5" w:name="usage-notes"/>
      <w:bookmarkEnd w:id="3"/>
      <w:bookmarkEnd w:id="4"/>
      <w:r>
        <w:t>Usage Notes</w:t>
      </w:r>
    </w:p>
    <w:p w14:paraId="69F8566A" w14:textId="77777777" w:rsidR="00E8421B" w:rsidRDefault="00FE2928">
      <w:pPr>
        <w:pStyle w:val="FirstParagraph"/>
      </w:pPr>
      <w:r>
        <w:t xml:space="preserve">Users of these Factors for estimating GHGs associated with purchased goods or services should follow the following steps. This assumes the goods </w:t>
      </w:r>
      <w:r>
        <w:t>and services are valued in USD, and not mass or physical quantities.</w:t>
      </w:r>
    </w:p>
    <w:p w14:paraId="77182162" w14:textId="77777777" w:rsidR="00E8421B" w:rsidRDefault="00FE2928">
      <w:pPr>
        <w:pStyle w:val="Compact"/>
        <w:numPr>
          <w:ilvl w:val="0"/>
          <w:numId w:val="3"/>
        </w:numPr>
      </w:pPr>
      <w:r>
        <w:t>Associate each good or service with the closest NAICS code using NAICS code descriptions.</w:t>
      </w:r>
    </w:p>
    <w:p w14:paraId="73C5A216" w14:textId="77777777" w:rsidR="00E8421B" w:rsidRDefault="00FE2928">
      <w:pPr>
        <w:pStyle w:val="Compact"/>
        <w:numPr>
          <w:ilvl w:val="0"/>
          <w:numId w:val="3"/>
        </w:numPr>
      </w:pPr>
      <w:r>
        <w:t>OPTIONAL but RECOMMENDED. Adjust the dollar year of the selected Factors to match the dollar year</w:t>
      </w:r>
      <w:r>
        <w:t xml:space="preserve"> of the spend data. For instance, to adjust any SEF from the given 2022 year to 2023, use the following equation:</w:t>
      </w:r>
    </w:p>
    <w:p w14:paraId="7FE81EFF" w14:textId="77777777" w:rsidR="00E8421B" w:rsidRDefault="00FE2928">
      <w:pPr>
        <w:pStyle w:val="FirstParagraph"/>
      </w:pPr>
      <m:oMathPara>
        <m:oMathParaPr>
          <m:jc m:val="center"/>
        </m:oMathParaPr>
        <m:oMath>
          <m:r>
            <w:rPr>
              <w:rFonts w:ascii="Cambria Math" w:hAnsi="Cambria Math"/>
            </w:rPr>
            <m:t>SE</m:t>
          </m:r>
          <m:sSub>
            <m:sSubPr>
              <m:ctrlPr>
                <w:rPr>
                  <w:rFonts w:ascii="Cambria Math" w:hAnsi="Cambria Math"/>
                </w:rPr>
              </m:ctrlPr>
            </m:sSubPr>
            <m:e>
              <m:r>
                <w:rPr>
                  <w:rFonts w:ascii="Cambria Math" w:hAnsi="Cambria Math"/>
                </w:rPr>
                <m:t>F</m:t>
              </m:r>
            </m:e>
            <m:sub>
              <m:r>
                <w:rPr>
                  <w:rFonts w:ascii="Cambria Math" w:hAnsi="Cambria Math"/>
                </w:rPr>
                <m:t>c</m:t>
              </m:r>
              <m:r>
                <m:rPr>
                  <m:sty m:val="p"/>
                </m:rPr>
                <w:rPr>
                  <w:rFonts w:ascii="Cambria Math" w:hAnsi="Cambria Math"/>
                </w:rPr>
                <m:t>$</m:t>
              </m:r>
              <m:r>
                <w:rPr>
                  <w:rFonts w:ascii="Cambria Math" w:hAnsi="Cambria Math"/>
                </w:rPr>
                <m:t>2023</m:t>
              </m:r>
            </m:sub>
          </m:sSub>
          <m:r>
            <m:rPr>
              <m:sty m:val="p"/>
            </m:rPr>
            <w:rPr>
              <w:rFonts w:ascii="Cambria Math" w:hAnsi="Cambria Math"/>
            </w:rPr>
            <m:t>=</m:t>
          </m:r>
          <m:r>
            <w:rPr>
              <w:rFonts w:ascii="Cambria Math" w:hAnsi="Cambria Math"/>
            </w:rPr>
            <m:t>SE</m:t>
          </m:r>
          <m:sSub>
            <m:sSubPr>
              <m:ctrlPr>
                <w:rPr>
                  <w:rFonts w:ascii="Cambria Math" w:hAnsi="Cambria Math"/>
                </w:rPr>
              </m:ctrlPr>
            </m:sSubPr>
            <m:e>
              <m:r>
                <w:rPr>
                  <w:rFonts w:ascii="Cambria Math" w:hAnsi="Cambria Math"/>
                </w:rPr>
                <m:t>F</m:t>
              </m:r>
            </m:e>
            <m:sub>
              <m:r>
                <w:rPr>
                  <w:rFonts w:ascii="Cambria Math" w:hAnsi="Cambria Math"/>
                </w:rPr>
                <m:t>c</m:t>
              </m:r>
              <m:r>
                <m:rPr>
                  <m:sty m:val="p"/>
                </m:rPr>
                <w:rPr>
                  <w:rFonts w:ascii="Cambria Math" w:hAnsi="Cambria Math"/>
                </w:rPr>
                <m:t>$</m:t>
              </m:r>
              <m:r>
                <w:rPr>
                  <w:rFonts w:ascii="Cambria Math" w:hAnsi="Cambria Math"/>
                </w:rPr>
                <m:t>2022</m:t>
              </m:r>
            </m:sub>
          </m:sSub>
          <m:r>
            <m:rPr>
              <m:sty m:val="p"/>
            </m:rPr>
            <w:rPr>
              <w:rFonts w:ascii="Cambria Math" w:hAnsi="Cambria Math"/>
            </w:rPr>
            <m:t>*</m:t>
          </m:r>
          <m:f>
            <m:fPr>
              <m:ctrlPr>
                <w:rPr>
                  <w:rFonts w:ascii="Cambria Math" w:hAnsi="Cambria Math"/>
                </w:rPr>
              </m:ctrlPr>
            </m:fPr>
            <m:num>
              <m:r>
                <w:rPr>
                  <w:rFonts w:ascii="Cambria Math" w:hAnsi="Cambria Math"/>
                </w:rPr>
                <m:t>CP</m:t>
              </m:r>
              <m:sSub>
                <m:sSubPr>
                  <m:ctrlPr>
                    <w:rPr>
                      <w:rFonts w:ascii="Cambria Math" w:hAnsi="Cambria Math"/>
                    </w:rPr>
                  </m:ctrlPr>
                </m:sSubPr>
                <m:e>
                  <m:r>
                    <w:rPr>
                      <w:rFonts w:ascii="Cambria Math" w:hAnsi="Cambria Math"/>
                    </w:rPr>
                    <m:t>I</m:t>
                  </m:r>
                </m:e>
                <m:sub>
                  <m:r>
                    <w:rPr>
                      <w:rFonts w:ascii="Cambria Math" w:hAnsi="Cambria Math"/>
                    </w:rPr>
                    <m:t>c</m:t>
                  </m:r>
                  <m:r>
                    <m:rPr>
                      <m:sty m:val="p"/>
                    </m:rPr>
                    <w:rPr>
                      <w:rFonts w:ascii="Cambria Math" w:hAnsi="Cambria Math"/>
                    </w:rPr>
                    <m:t>,</m:t>
                  </m:r>
                  <m:r>
                    <w:rPr>
                      <w:rFonts w:ascii="Cambria Math" w:hAnsi="Cambria Math"/>
                    </w:rPr>
                    <m:t>2022</m:t>
                  </m:r>
                </m:sub>
              </m:sSub>
            </m:num>
            <m:den>
              <m:r>
                <w:rPr>
                  <w:rFonts w:ascii="Cambria Math" w:hAnsi="Cambria Math"/>
                </w:rPr>
                <m:t>CP</m:t>
              </m:r>
              <m:sSub>
                <m:sSubPr>
                  <m:ctrlPr>
                    <w:rPr>
                      <w:rFonts w:ascii="Cambria Math" w:hAnsi="Cambria Math"/>
                    </w:rPr>
                  </m:ctrlPr>
                </m:sSubPr>
                <m:e>
                  <m:r>
                    <w:rPr>
                      <w:rFonts w:ascii="Cambria Math" w:hAnsi="Cambria Math"/>
                    </w:rPr>
                    <m:t>I</m:t>
                  </m:r>
                </m:e>
                <m:sub>
                  <m:r>
                    <w:rPr>
                      <w:rFonts w:ascii="Cambria Math" w:hAnsi="Cambria Math"/>
                    </w:rPr>
                    <m:t>c</m:t>
                  </m:r>
                  <m:r>
                    <m:rPr>
                      <m:sty m:val="p"/>
                    </m:rPr>
                    <w:rPr>
                      <w:rFonts w:ascii="Cambria Math" w:hAnsi="Cambria Math"/>
                    </w:rPr>
                    <m:t>,</m:t>
                  </m:r>
                  <m:r>
                    <w:rPr>
                      <w:rFonts w:ascii="Cambria Math" w:hAnsi="Cambria Math"/>
                    </w:rPr>
                    <m:t>2023</m:t>
                  </m:r>
                </m:sub>
              </m:sSub>
            </m:den>
          </m:f>
        </m:oMath>
      </m:oMathPara>
    </w:p>
    <w:p w14:paraId="06FA2A54" w14:textId="6B419939" w:rsidR="00E8421B" w:rsidRDefault="00FE2928">
      <w:pPr>
        <w:pStyle w:val="FirstParagraph"/>
      </w:pPr>
      <w:r>
        <w:t xml:space="preserve">where the </w:t>
      </w:r>
      <m:oMath>
        <m:r>
          <w:rPr>
            <w:rFonts w:ascii="Cambria Math" w:hAnsi="Cambria Math"/>
          </w:rPr>
          <m:t>CPI</m:t>
        </m:r>
      </m:oMath>
      <w:r>
        <w:t xml:space="preserve"> is a annual commodity-specific price index for commodity </w:t>
      </w:r>
      <m:oMath>
        <m:r>
          <w:rPr>
            <w:rFonts w:ascii="Cambria Math" w:hAnsi="Cambria Math"/>
          </w:rPr>
          <m:t>c</m:t>
        </m:r>
      </m:oMath>
      <w:r>
        <w:t>. This calc</w:t>
      </w:r>
      <w:r>
        <w:t xml:space="preserve">ulation is equivalent to the </w:t>
      </w:r>
      <m:oMath>
        <m:r>
          <w:rPr>
            <w:rFonts w:ascii="Cambria Math" w:hAnsi="Cambria Math"/>
          </w:rPr>
          <m:t>ρ</m:t>
        </m:r>
      </m:oMath>
      <w:r>
        <w:t xml:space="preserve"> matrix adjustment described in the USEEIO v2 documentation used for USEEIO v2.0 (Ingwersen et al., 2022), where the CPI data used are the industry-specific chain-tyoe prices published by the BEA as part of the industry accou</w:t>
      </w:r>
      <w:r>
        <w:t>nt underlying detail data (</w:t>
      </w:r>
      <w:r w:rsidR="008B1BD1">
        <w:t>BEA</w:t>
      </w:r>
      <w:r>
        <w:t xml:space="preserve">, 2022), which are then transformed into commodity-form using a market shares approach. The supply-chain-factors code can be executed to generate all the Factors in a user-provided dollar year to perform this change using the </w:t>
      </w:r>
      <w:r>
        <w:t>factor adjustment functionality built into useeior (Li, Mo et al., 2022). As of the time of publication, detailed level chain-type prices were not available after 2022.</w:t>
      </w:r>
    </w:p>
    <w:p w14:paraId="46369E93" w14:textId="6BE46E34" w:rsidR="00E8421B" w:rsidRDefault="00FE2928">
      <w:pPr>
        <w:pStyle w:val="Compact"/>
        <w:numPr>
          <w:ilvl w:val="0"/>
          <w:numId w:val="4"/>
        </w:numPr>
      </w:pPr>
      <w:r>
        <w:t>Multiply dollars spent for a good or service by its matched Factor to get kg of a GHG o</w:t>
      </w:r>
      <w:r>
        <w:t>r CO2e the total direct + indirect GHG emissions for a given good or service, depending on the unit of the given Factor. I</w:t>
      </w:r>
      <w:r w:rsidR="008B1BD1">
        <w:t>f</w:t>
      </w:r>
      <w:r>
        <w:t xml:space="preserve"> users wish to convert GHGs into CO2e using IPCC global warming potentials, they can access a set GWPs from various IPCC reports and </w:t>
      </w:r>
      <w:r>
        <w:t>for 20 and 100-year time horizons that match with the GHG names used in this dataset in the IPCC GWPs for FEDEFL v1 dataset (Young et al., 2023).</w:t>
      </w:r>
    </w:p>
    <w:p w14:paraId="386E40E0" w14:textId="77777777" w:rsidR="00E8421B" w:rsidRDefault="00FE2928">
      <w:pPr>
        <w:pStyle w:val="FirstParagraph"/>
      </w:pPr>
      <w:r>
        <w:t>Do not add the results of the calculation of SEF and/or MEF to the result of the SEF+MEF, since this will be d</w:t>
      </w:r>
      <w:r>
        <w:t>uplicative.</w:t>
      </w:r>
    </w:p>
    <w:p w14:paraId="1C4EFDB1" w14:textId="597AF170" w:rsidR="008C05E4" w:rsidRDefault="008C05E4">
      <w:pPr>
        <w:pStyle w:val="BodyText"/>
        <w:sectPr w:rsidR="008C05E4">
          <w:pgSz w:w="12240" w:h="15840"/>
          <w:pgMar w:top="1440" w:right="1440" w:bottom="1440" w:left="1440" w:header="720" w:footer="720" w:gutter="0"/>
          <w:cols w:space="720"/>
        </w:sectPr>
      </w:pPr>
    </w:p>
    <w:p w14:paraId="42A3F10B" w14:textId="77777777" w:rsidR="008C05E4" w:rsidRDefault="008C05E4" w:rsidP="008C05E4">
      <w:pPr>
        <w:pStyle w:val="TableCaption"/>
      </w:pPr>
      <w:bookmarkStart w:id="6" w:name="code-availability"/>
      <w:bookmarkEnd w:id="5"/>
      <w:r>
        <w:lastRenderedPageBreak/>
        <w:t>Table 1. Distributions of Factor values by Factor Types.</w:t>
      </w:r>
    </w:p>
    <w:tbl>
      <w:tblPr>
        <w:tblStyle w:val="Table"/>
        <w:tblW w:w="5000" w:type="pct"/>
        <w:tblLayout w:type="fixed"/>
        <w:tblLook w:val="0020" w:firstRow="1" w:lastRow="0" w:firstColumn="0" w:lastColumn="0" w:noHBand="0" w:noVBand="0"/>
      </w:tblPr>
      <w:tblGrid>
        <w:gridCol w:w="6888"/>
        <w:gridCol w:w="898"/>
        <w:gridCol w:w="1198"/>
        <w:gridCol w:w="1048"/>
        <w:gridCol w:w="1048"/>
        <w:gridCol w:w="1198"/>
        <w:gridCol w:w="898"/>
      </w:tblGrid>
      <w:tr w:rsidR="008C05E4" w14:paraId="38B441AE" w14:textId="77777777" w:rsidTr="008C05E4">
        <w:trPr>
          <w:cnfStyle w:val="100000000000" w:firstRow="1" w:lastRow="0" w:firstColumn="0" w:lastColumn="0" w:oddVBand="0" w:evenVBand="0" w:oddHBand="0" w:evenHBand="0" w:firstRowFirstColumn="0" w:firstRowLastColumn="0" w:lastRowFirstColumn="0" w:lastRowLastColumn="0"/>
          <w:tblHeader/>
        </w:trPr>
        <w:tc>
          <w:tcPr>
            <w:tcW w:w="6888" w:type="dxa"/>
          </w:tcPr>
          <w:p w14:paraId="26631E12" w14:textId="42118C13" w:rsidR="008C05E4" w:rsidRPr="008B1BD1" w:rsidRDefault="008B1BD1" w:rsidP="005C0336">
            <w:pPr>
              <w:pStyle w:val="Compact"/>
              <w:rPr>
                <w:b/>
                <w:bCs/>
              </w:rPr>
            </w:pPr>
            <w:r w:rsidRPr="008B1BD1">
              <w:rPr>
                <w:b/>
                <w:bCs/>
              </w:rPr>
              <w:t>Factor Type</w:t>
            </w:r>
          </w:p>
        </w:tc>
        <w:tc>
          <w:tcPr>
            <w:tcW w:w="898" w:type="dxa"/>
          </w:tcPr>
          <w:p w14:paraId="438561AB" w14:textId="77777777" w:rsidR="008C05E4" w:rsidRPr="008B1BD1" w:rsidRDefault="008C05E4" w:rsidP="005C0336">
            <w:pPr>
              <w:pStyle w:val="Compact"/>
              <w:jc w:val="right"/>
              <w:rPr>
                <w:b/>
                <w:bCs/>
              </w:rPr>
            </w:pPr>
            <w:r w:rsidRPr="008B1BD1">
              <w:rPr>
                <w:b/>
                <w:bCs/>
              </w:rPr>
              <w:t>Min.</w:t>
            </w:r>
          </w:p>
        </w:tc>
        <w:tc>
          <w:tcPr>
            <w:tcW w:w="1198" w:type="dxa"/>
          </w:tcPr>
          <w:p w14:paraId="6F00C1BF" w14:textId="77777777" w:rsidR="008C05E4" w:rsidRPr="008B1BD1" w:rsidRDefault="008C05E4" w:rsidP="005C0336">
            <w:pPr>
              <w:pStyle w:val="Compact"/>
              <w:jc w:val="right"/>
              <w:rPr>
                <w:b/>
                <w:bCs/>
              </w:rPr>
            </w:pPr>
            <w:r w:rsidRPr="008B1BD1">
              <w:rPr>
                <w:b/>
                <w:bCs/>
              </w:rPr>
              <w:t>1st Qu.</w:t>
            </w:r>
          </w:p>
        </w:tc>
        <w:tc>
          <w:tcPr>
            <w:tcW w:w="1048" w:type="dxa"/>
          </w:tcPr>
          <w:p w14:paraId="0B15BA6B" w14:textId="77777777" w:rsidR="008C05E4" w:rsidRPr="008B1BD1" w:rsidRDefault="008C05E4" w:rsidP="005C0336">
            <w:pPr>
              <w:pStyle w:val="Compact"/>
              <w:jc w:val="right"/>
              <w:rPr>
                <w:b/>
                <w:bCs/>
              </w:rPr>
            </w:pPr>
            <w:r w:rsidRPr="008B1BD1">
              <w:rPr>
                <w:b/>
                <w:bCs/>
              </w:rPr>
              <w:t>Median</w:t>
            </w:r>
          </w:p>
        </w:tc>
        <w:tc>
          <w:tcPr>
            <w:tcW w:w="1048" w:type="dxa"/>
          </w:tcPr>
          <w:p w14:paraId="5B9D626D" w14:textId="77777777" w:rsidR="008C05E4" w:rsidRPr="008B1BD1" w:rsidRDefault="008C05E4" w:rsidP="005C0336">
            <w:pPr>
              <w:pStyle w:val="Compact"/>
              <w:jc w:val="right"/>
              <w:rPr>
                <w:b/>
                <w:bCs/>
              </w:rPr>
            </w:pPr>
            <w:r w:rsidRPr="008B1BD1">
              <w:rPr>
                <w:b/>
                <w:bCs/>
              </w:rPr>
              <w:t>Mean</w:t>
            </w:r>
          </w:p>
        </w:tc>
        <w:tc>
          <w:tcPr>
            <w:tcW w:w="1198" w:type="dxa"/>
          </w:tcPr>
          <w:p w14:paraId="3FD5DB58" w14:textId="77777777" w:rsidR="008C05E4" w:rsidRPr="008B1BD1" w:rsidRDefault="008C05E4" w:rsidP="005C0336">
            <w:pPr>
              <w:pStyle w:val="Compact"/>
              <w:jc w:val="right"/>
              <w:rPr>
                <w:b/>
                <w:bCs/>
              </w:rPr>
            </w:pPr>
            <w:r w:rsidRPr="008B1BD1">
              <w:rPr>
                <w:b/>
                <w:bCs/>
              </w:rPr>
              <w:t>3rd Qu.</w:t>
            </w:r>
          </w:p>
        </w:tc>
        <w:tc>
          <w:tcPr>
            <w:tcW w:w="898" w:type="dxa"/>
          </w:tcPr>
          <w:p w14:paraId="0A4CA074" w14:textId="77777777" w:rsidR="008C05E4" w:rsidRPr="008B1BD1" w:rsidRDefault="008C05E4" w:rsidP="005C0336">
            <w:pPr>
              <w:pStyle w:val="Compact"/>
              <w:jc w:val="right"/>
              <w:rPr>
                <w:b/>
                <w:bCs/>
              </w:rPr>
            </w:pPr>
            <w:r w:rsidRPr="008B1BD1">
              <w:rPr>
                <w:b/>
                <w:bCs/>
              </w:rPr>
              <w:t>Max.</w:t>
            </w:r>
          </w:p>
        </w:tc>
      </w:tr>
      <w:tr w:rsidR="008C05E4" w14:paraId="3C0B41F2" w14:textId="77777777" w:rsidTr="008C05E4">
        <w:tc>
          <w:tcPr>
            <w:tcW w:w="6888" w:type="dxa"/>
          </w:tcPr>
          <w:p w14:paraId="76488B3F" w14:textId="77777777" w:rsidR="008C05E4" w:rsidRDefault="008C05E4" w:rsidP="005C0336">
            <w:pPr>
              <w:pStyle w:val="Compact"/>
            </w:pPr>
            <w:r>
              <w:t>Supply Chain Emission Factors without Margins</w:t>
            </w:r>
          </w:p>
        </w:tc>
        <w:tc>
          <w:tcPr>
            <w:tcW w:w="898" w:type="dxa"/>
          </w:tcPr>
          <w:p w14:paraId="5812E453" w14:textId="77777777" w:rsidR="008C05E4" w:rsidRDefault="008C05E4" w:rsidP="005C0336">
            <w:pPr>
              <w:pStyle w:val="Compact"/>
              <w:jc w:val="right"/>
            </w:pPr>
            <w:r>
              <w:t>0.026</w:t>
            </w:r>
          </w:p>
        </w:tc>
        <w:tc>
          <w:tcPr>
            <w:tcW w:w="1198" w:type="dxa"/>
          </w:tcPr>
          <w:p w14:paraId="67CE287B" w14:textId="77777777" w:rsidR="008C05E4" w:rsidRDefault="008C05E4" w:rsidP="005C0336">
            <w:pPr>
              <w:pStyle w:val="Compact"/>
              <w:jc w:val="right"/>
            </w:pPr>
            <w:r>
              <w:t>0.103</w:t>
            </w:r>
          </w:p>
        </w:tc>
        <w:tc>
          <w:tcPr>
            <w:tcW w:w="1048" w:type="dxa"/>
          </w:tcPr>
          <w:p w14:paraId="6AF3D8D6" w14:textId="77777777" w:rsidR="008C05E4" w:rsidRDefault="008C05E4" w:rsidP="005C0336">
            <w:pPr>
              <w:pStyle w:val="Compact"/>
              <w:jc w:val="right"/>
            </w:pPr>
            <w:r>
              <w:t>0.159</w:t>
            </w:r>
          </w:p>
        </w:tc>
        <w:tc>
          <w:tcPr>
            <w:tcW w:w="1048" w:type="dxa"/>
          </w:tcPr>
          <w:p w14:paraId="27D28800" w14:textId="77777777" w:rsidR="008C05E4" w:rsidRDefault="008C05E4" w:rsidP="005C0336">
            <w:pPr>
              <w:pStyle w:val="Compact"/>
              <w:jc w:val="right"/>
            </w:pPr>
            <w:r>
              <w:t>0.2650</w:t>
            </w:r>
          </w:p>
        </w:tc>
        <w:tc>
          <w:tcPr>
            <w:tcW w:w="1198" w:type="dxa"/>
          </w:tcPr>
          <w:p w14:paraId="52B81E06" w14:textId="77777777" w:rsidR="008C05E4" w:rsidRDefault="008C05E4" w:rsidP="005C0336">
            <w:pPr>
              <w:pStyle w:val="Compact"/>
              <w:jc w:val="right"/>
            </w:pPr>
            <w:r>
              <w:t>0.3022</w:t>
            </w:r>
          </w:p>
        </w:tc>
        <w:tc>
          <w:tcPr>
            <w:tcW w:w="898" w:type="dxa"/>
          </w:tcPr>
          <w:p w14:paraId="7C64A497" w14:textId="77777777" w:rsidR="008C05E4" w:rsidRDefault="008C05E4" w:rsidP="005C0336">
            <w:pPr>
              <w:pStyle w:val="Compact"/>
              <w:jc w:val="right"/>
            </w:pPr>
            <w:r>
              <w:t>3.846</w:t>
            </w:r>
          </w:p>
        </w:tc>
      </w:tr>
      <w:tr w:rsidR="008C05E4" w14:paraId="128CDD03" w14:textId="77777777" w:rsidTr="008C05E4">
        <w:tc>
          <w:tcPr>
            <w:tcW w:w="6888" w:type="dxa"/>
          </w:tcPr>
          <w:p w14:paraId="16EDBBF4" w14:textId="77777777" w:rsidR="008C05E4" w:rsidRDefault="008C05E4" w:rsidP="005C0336">
            <w:pPr>
              <w:pStyle w:val="Compact"/>
            </w:pPr>
            <w:r>
              <w:t>Margins of Supply Chain Emission Factors</w:t>
            </w:r>
          </w:p>
        </w:tc>
        <w:tc>
          <w:tcPr>
            <w:tcW w:w="898" w:type="dxa"/>
          </w:tcPr>
          <w:p w14:paraId="39504DB7" w14:textId="77777777" w:rsidR="008C05E4" w:rsidRDefault="008C05E4" w:rsidP="005C0336">
            <w:pPr>
              <w:pStyle w:val="Compact"/>
              <w:jc w:val="right"/>
            </w:pPr>
            <w:r>
              <w:t>0.000</w:t>
            </w:r>
          </w:p>
        </w:tc>
        <w:tc>
          <w:tcPr>
            <w:tcW w:w="1198" w:type="dxa"/>
          </w:tcPr>
          <w:p w14:paraId="58C249A9" w14:textId="77777777" w:rsidR="008C05E4" w:rsidRDefault="008C05E4" w:rsidP="005C0336">
            <w:pPr>
              <w:pStyle w:val="Compact"/>
              <w:jc w:val="right"/>
            </w:pPr>
            <w:r>
              <w:t>0.000</w:t>
            </w:r>
          </w:p>
        </w:tc>
        <w:tc>
          <w:tcPr>
            <w:tcW w:w="1048" w:type="dxa"/>
          </w:tcPr>
          <w:p w14:paraId="3090AC9D" w14:textId="77777777" w:rsidR="008C05E4" w:rsidRDefault="008C05E4" w:rsidP="005C0336">
            <w:pPr>
              <w:pStyle w:val="Compact"/>
              <w:jc w:val="right"/>
            </w:pPr>
            <w:r>
              <w:t>0.000</w:t>
            </w:r>
          </w:p>
        </w:tc>
        <w:tc>
          <w:tcPr>
            <w:tcW w:w="1048" w:type="dxa"/>
          </w:tcPr>
          <w:p w14:paraId="393AE32B" w14:textId="77777777" w:rsidR="008C05E4" w:rsidRDefault="008C05E4" w:rsidP="005C0336">
            <w:pPr>
              <w:pStyle w:val="Compact"/>
              <w:jc w:val="right"/>
            </w:pPr>
            <w:r>
              <w:t>0.0169</w:t>
            </w:r>
          </w:p>
        </w:tc>
        <w:tc>
          <w:tcPr>
            <w:tcW w:w="1198" w:type="dxa"/>
          </w:tcPr>
          <w:p w14:paraId="2329C430" w14:textId="77777777" w:rsidR="008C05E4" w:rsidRDefault="008C05E4" w:rsidP="005C0336">
            <w:pPr>
              <w:pStyle w:val="Compact"/>
              <w:jc w:val="right"/>
            </w:pPr>
            <w:r>
              <w:t>0.0302</w:t>
            </w:r>
          </w:p>
        </w:tc>
        <w:tc>
          <w:tcPr>
            <w:tcW w:w="898" w:type="dxa"/>
          </w:tcPr>
          <w:p w14:paraId="14581791" w14:textId="77777777" w:rsidR="008C05E4" w:rsidRDefault="008C05E4" w:rsidP="005C0336">
            <w:pPr>
              <w:pStyle w:val="Compact"/>
              <w:jc w:val="right"/>
            </w:pPr>
            <w:r>
              <w:t>0.125</w:t>
            </w:r>
          </w:p>
        </w:tc>
      </w:tr>
      <w:tr w:rsidR="008C05E4" w14:paraId="420CCE1E" w14:textId="77777777" w:rsidTr="008C05E4">
        <w:tc>
          <w:tcPr>
            <w:tcW w:w="6888" w:type="dxa"/>
          </w:tcPr>
          <w:p w14:paraId="41076C92" w14:textId="77777777" w:rsidR="008C05E4" w:rsidRDefault="008C05E4" w:rsidP="005C0336">
            <w:pPr>
              <w:pStyle w:val="Compact"/>
            </w:pPr>
            <w:r>
              <w:t>Supply Chain Emission Factors with Margins</w:t>
            </w:r>
          </w:p>
        </w:tc>
        <w:tc>
          <w:tcPr>
            <w:tcW w:w="898" w:type="dxa"/>
          </w:tcPr>
          <w:p w14:paraId="54DCE485" w14:textId="77777777" w:rsidR="008C05E4" w:rsidRDefault="008C05E4" w:rsidP="005C0336">
            <w:pPr>
              <w:pStyle w:val="Compact"/>
              <w:jc w:val="right"/>
            </w:pPr>
            <w:r>
              <w:t>0.029</w:t>
            </w:r>
          </w:p>
        </w:tc>
        <w:tc>
          <w:tcPr>
            <w:tcW w:w="1198" w:type="dxa"/>
          </w:tcPr>
          <w:p w14:paraId="3937A718" w14:textId="77777777" w:rsidR="008C05E4" w:rsidRDefault="008C05E4" w:rsidP="005C0336">
            <w:pPr>
              <w:pStyle w:val="Compact"/>
              <w:jc w:val="right"/>
            </w:pPr>
            <w:r>
              <w:t>0.108</w:t>
            </w:r>
          </w:p>
        </w:tc>
        <w:tc>
          <w:tcPr>
            <w:tcW w:w="1048" w:type="dxa"/>
          </w:tcPr>
          <w:p w14:paraId="27122953" w14:textId="77777777" w:rsidR="008C05E4" w:rsidRDefault="008C05E4" w:rsidP="005C0336">
            <w:pPr>
              <w:pStyle w:val="Compact"/>
              <w:jc w:val="right"/>
            </w:pPr>
            <w:r>
              <w:t>0.173</w:t>
            </w:r>
          </w:p>
        </w:tc>
        <w:tc>
          <w:tcPr>
            <w:tcW w:w="1048" w:type="dxa"/>
          </w:tcPr>
          <w:p w14:paraId="7EC81450" w14:textId="77777777" w:rsidR="008C05E4" w:rsidRDefault="008C05E4" w:rsidP="005C0336">
            <w:pPr>
              <w:pStyle w:val="Compact"/>
              <w:jc w:val="right"/>
            </w:pPr>
            <w:r>
              <w:t>0.2819</w:t>
            </w:r>
          </w:p>
        </w:tc>
        <w:tc>
          <w:tcPr>
            <w:tcW w:w="1198" w:type="dxa"/>
          </w:tcPr>
          <w:p w14:paraId="5CC045FC" w14:textId="77777777" w:rsidR="008C05E4" w:rsidRDefault="008C05E4" w:rsidP="005C0336">
            <w:pPr>
              <w:pStyle w:val="Compact"/>
              <w:jc w:val="right"/>
            </w:pPr>
            <w:r>
              <w:t>0.3292</w:t>
            </w:r>
          </w:p>
        </w:tc>
        <w:tc>
          <w:tcPr>
            <w:tcW w:w="898" w:type="dxa"/>
          </w:tcPr>
          <w:p w14:paraId="5749B760" w14:textId="77777777" w:rsidR="008C05E4" w:rsidRDefault="008C05E4" w:rsidP="005C0336">
            <w:pPr>
              <w:pStyle w:val="Compact"/>
              <w:jc w:val="right"/>
            </w:pPr>
            <w:r>
              <w:t>3.924</w:t>
            </w:r>
          </w:p>
        </w:tc>
      </w:tr>
    </w:tbl>
    <w:p w14:paraId="2FBF1938" w14:textId="77777777" w:rsidR="008C05E4" w:rsidRDefault="008C05E4" w:rsidP="008C05E4">
      <w:pPr>
        <w:pStyle w:val="TableCaption"/>
      </w:pPr>
    </w:p>
    <w:p w14:paraId="47CAA7BE" w14:textId="4491FDB6" w:rsidR="008C05E4" w:rsidRDefault="008C05E4" w:rsidP="008C05E4">
      <w:pPr>
        <w:pStyle w:val="TableCaption"/>
      </w:pPr>
      <w:r>
        <w:t>Table 2. Top 20 Supply Chain Emission Factors with Margins. Unit is kg CO2e per USD 2022.</w:t>
      </w:r>
    </w:p>
    <w:tbl>
      <w:tblPr>
        <w:tblStyle w:val="Table"/>
        <w:tblW w:w="4534" w:type="pct"/>
        <w:tblLayout w:type="fixed"/>
        <w:tblLook w:val="0020" w:firstRow="1" w:lastRow="0" w:firstColumn="0" w:lastColumn="0" w:noHBand="0" w:noVBand="0"/>
      </w:tblPr>
      <w:tblGrid>
        <w:gridCol w:w="1098"/>
        <w:gridCol w:w="4860"/>
        <w:gridCol w:w="1300"/>
        <w:gridCol w:w="2288"/>
        <w:gridCol w:w="2402"/>
      </w:tblGrid>
      <w:tr w:rsidR="008C05E4" w14:paraId="2D884D1D" w14:textId="77777777" w:rsidTr="008C05E4">
        <w:trPr>
          <w:cnfStyle w:val="100000000000" w:firstRow="1" w:lastRow="0" w:firstColumn="0" w:lastColumn="0" w:oddVBand="0" w:evenVBand="0" w:oddHBand="0" w:evenHBand="0" w:firstRowFirstColumn="0" w:firstRowLastColumn="0" w:lastRowFirstColumn="0" w:lastRowLastColumn="0"/>
          <w:tblHeader/>
        </w:trPr>
        <w:tc>
          <w:tcPr>
            <w:tcW w:w="1098" w:type="dxa"/>
          </w:tcPr>
          <w:p w14:paraId="0EE6EC73" w14:textId="77777777" w:rsidR="008C05E4" w:rsidRPr="008B1BD1" w:rsidRDefault="008C05E4" w:rsidP="005C0336">
            <w:pPr>
              <w:pStyle w:val="Compact"/>
              <w:jc w:val="right"/>
              <w:rPr>
                <w:b/>
                <w:bCs/>
              </w:rPr>
            </w:pPr>
            <w:r w:rsidRPr="008B1BD1">
              <w:rPr>
                <w:b/>
                <w:bCs/>
              </w:rPr>
              <w:t>2017 NAICS Code</w:t>
            </w:r>
          </w:p>
        </w:tc>
        <w:tc>
          <w:tcPr>
            <w:tcW w:w="4860" w:type="dxa"/>
          </w:tcPr>
          <w:p w14:paraId="4C09BC30" w14:textId="77777777" w:rsidR="008C05E4" w:rsidRPr="008B1BD1" w:rsidRDefault="008C05E4" w:rsidP="005C0336">
            <w:pPr>
              <w:pStyle w:val="Compact"/>
              <w:rPr>
                <w:b/>
                <w:bCs/>
              </w:rPr>
            </w:pPr>
            <w:r w:rsidRPr="008B1BD1">
              <w:rPr>
                <w:b/>
                <w:bCs/>
              </w:rPr>
              <w:t>2017 NAICS Title</w:t>
            </w:r>
          </w:p>
        </w:tc>
        <w:tc>
          <w:tcPr>
            <w:tcW w:w="1300" w:type="dxa"/>
          </w:tcPr>
          <w:p w14:paraId="2C85510F" w14:textId="77777777" w:rsidR="008C05E4" w:rsidRPr="008B1BD1" w:rsidRDefault="008C05E4" w:rsidP="005C0336">
            <w:pPr>
              <w:pStyle w:val="Compact"/>
              <w:jc w:val="right"/>
              <w:rPr>
                <w:b/>
                <w:bCs/>
              </w:rPr>
            </w:pPr>
            <w:r w:rsidRPr="008B1BD1">
              <w:rPr>
                <w:b/>
                <w:bCs/>
              </w:rPr>
              <w:t>Supply Chain Emission Factors without Margins</w:t>
            </w:r>
          </w:p>
        </w:tc>
        <w:tc>
          <w:tcPr>
            <w:tcW w:w="2288" w:type="dxa"/>
          </w:tcPr>
          <w:p w14:paraId="11837B34" w14:textId="77777777" w:rsidR="008C05E4" w:rsidRPr="008B1BD1" w:rsidRDefault="008C05E4" w:rsidP="005C0336">
            <w:pPr>
              <w:pStyle w:val="Compact"/>
              <w:jc w:val="right"/>
              <w:rPr>
                <w:b/>
                <w:bCs/>
              </w:rPr>
            </w:pPr>
            <w:r w:rsidRPr="008B1BD1">
              <w:rPr>
                <w:b/>
                <w:bCs/>
              </w:rPr>
              <w:t>Margins of Supply Chain Emission Factors</w:t>
            </w:r>
          </w:p>
        </w:tc>
        <w:tc>
          <w:tcPr>
            <w:tcW w:w="2402" w:type="dxa"/>
          </w:tcPr>
          <w:p w14:paraId="7C1A29B1" w14:textId="77777777" w:rsidR="008C05E4" w:rsidRPr="008B1BD1" w:rsidRDefault="008C05E4" w:rsidP="005C0336">
            <w:pPr>
              <w:pStyle w:val="Compact"/>
              <w:jc w:val="right"/>
              <w:rPr>
                <w:b/>
                <w:bCs/>
              </w:rPr>
            </w:pPr>
            <w:r w:rsidRPr="008B1BD1">
              <w:rPr>
                <w:b/>
                <w:bCs/>
              </w:rPr>
              <w:t>Supply Chain Emission Factors with Margins</w:t>
            </w:r>
          </w:p>
        </w:tc>
      </w:tr>
      <w:tr w:rsidR="008C05E4" w14:paraId="275DE0AB" w14:textId="77777777" w:rsidTr="008C05E4">
        <w:tc>
          <w:tcPr>
            <w:tcW w:w="1098" w:type="dxa"/>
          </w:tcPr>
          <w:p w14:paraId="6103145F" w14:textId="77777777" w:rsidR="008C05E4" w:rsidRDefault="008C05E4" w:rsidP="005C0336">
            <w:pPr>
              <w:pStyle w:val="Compact"/>
              <w:jc w:val="right"/>
            </w:pPr>
            <w:r>
              <w:t>327310</w:t>
            </w:r>
          </w:p>
        </w:tc>
        <w:tc>
          <w:tcPr>
            <w:tcW w:w="4860" w:type="dxa"/>
          </w:tcPr>
          <w:p w14:paraId="4E315B40" w14:textId="77777777" w:rsidR="008C05E4" w:rsidRDefault="008C05E4" w:rsidP="005C0336">
            <w:pPr>
              <w:pStyle w:val="Compact"/>
            </w:pPr>
            <w:r>
              <w:t>Cement Manufacturing</w:t>
            </w:r>
          </w:p>
        </w:tc>
        <w:tc>
          <w:tcPr>
            <w:tcW w:w="1300" w:type="dxa"/>
          </w:tcPr>
          <w:p w14:paraId="56867ED0" w14:textId="77777777" w:rsidR="008C05E4" w:rsidRDefault="008C05E4" w:rsidP="005C0336">
            <w:pPr>
              <w:pStyle w:val="Compact"/>
              <w:jc w:val="right"/>
            </w:pPr>
            <w:r>
              <w:t>3.846</w:t>
            </w:r>
          </w:p>
        </w:tc>
        <w:tc>
          <w:tcPr>
            <w:tcW w:w="2288" w:type="dxa"/>
          </w:tcPr>
          <w:p w14:paraId="00BBE63B" w14:textId="77777777" w:rsidR="008C05E4" w:rsidRDefault="008C05E4" w:rsidP="005C0336">
            <w:pPr>
              <w:pStyle w:val="Compact"/>
              <w:jc w:val="right"/>
            </w:pPr>
            <w:r>
              <w:t>0.078</w:t>
            </w:r>
          </w:p>
        </w:tc>
        <w:tc>
          <w:tcPr>
            <w:tcW w:w="2402" w:type="dxa"/>
          </w:tcPr>
          <w:p w14:paraId="437C11CB" w14:textId="77777777" w:rsidR="008C05E4" w:rsidRDefault="008C05E4" w:rsidP="005C0336">
            <w:pPr>
              <w:pStyle w:val="Compact"/>
              <w:jc w:val="right"/>
            </w:pPr>
            <w:r>
              <w:t>3.924</w:t>
            </w:r>
          </w:p>
        </w:tc>
      </w:tr>
      <w:tr w:rsidR="008C05E4" w14:paraId="3E852AD2" w14:textId="77777777" w:rsidTr="008C05E4">
        <w:tc>
          <w:tcPr>
            <w:tcW w:w="1098" w:type="dxa"/>
          </w:tcPr>
          <w:p w14:paraId="5780C91A" w14:textId="77777777" w:rsidR="008C05E4" w:rsidRDefault="008C05E4" w:rsidP="005C0336">
            <w:pPr>
              <w:pStyle w:val="Compact"/>
              <w:jc w:val="right"/>
            </w:pPr>
            <w:r>
              <w:t>112111</w:t>
            </w:r>
          </w:p>
        </w:tc>
        <w:tc>
          <w:tcPr>
            <w:tcW w:w="4860" w:type="dxa"/>
          </w:tcPr>
          <w:p w14:paraId="02AFC124" w14:textId="77777777" w:rsidR="008C05E4" w:rsidRDefault="008C05E4" w:rsidP="005C0336">
            <w:pPr>
              <w:pStyle w:val="Compact"/>
            </w:pPr>
            <w:r>
              <w:t>Beef Cattle Ranching and Farming</w:t>
            </w:r>
          </w:p>
        </w:tc>
        <w:tc>
          <w:tcPr>
            <w:tcW w:w="1300" w:type="dxa"/>
          </w:tcPr>
          <w:p w14:paraId="2B913BA0" w14:textId="77777777" w:rsidR="008C05E4" w:rsidRDefault="008C05E4" w:rsidP="005C0336">
            <w:pPr>
              <w:pStyle w:val="Compact"/>
              <w:jc w:val="right"/>
            </w:pPr>
            <w:r>
              <w:t>2.847</w:t>
            </w:r>
          </w:p>
        </w:tc>
        <w:tc>
          <w:tcPr>
            <w:tcW w:w="2288" w:type="dxa"/>
          </w:tcPr>
          <w:p w14:paraId="7DA92FC8" w14:textId="77777777" w:rsidR="008C05E4" w:rsidRDefault="008C05E4" w:rsidP="005C0336">
            <w:pPr>
              <w:pStyle w:val="Compact"/>
              <w:jc w:val="right"/>
            </w:pPr>
            <w:r>
              <w:t>0.045</w:t>
            </w:r>
          </w:p>
        </w:tc>
        <w:tc>
          <w:tcPr>
            <w:tcW w:w="2402" w:type="dxa"/>
          </w:tcPr>
          <w:p w14:paraId="5E9B0783" w14:textId="77777777" w:rsidR="008C05E4" w:rsidRDefault="008C05E4" w:rsidP="005C0336">
            <w:pPr>
              <w:pStyle w:val="Compact"/>
              <w:jc w:val="right"/>
            </w:pPr>
            <w:r>
              <w:t>2.893</w:t>
            </w:r>
          </w:p>
        </w:tc>
      </w:tr>
      <w:tr w:rsidR="008C05E4" w14:paraId="4AE25152" w14:textId="77777777" w:rsidTr="008C05E4">
        <w:tc>
          <w:tcPr>
            <w:tcW w:w="1098" w:type="dxa"/>
          </w:tcPr>
          <w:p w14:paraId="15C89508" w14:textId="77777777" w:rsidR="008C05E4" w:rsidRDefault="008C05E4" w:rsidP="005C0336">
            <w:pPr>
              <w:pStyle w:val="Compact"/>
              <w:jc w:val="right"/>
            </w:pPr>
            <w:r>
              <w:t>112112</w:t>
            </w:r>
          </w:p>
        </w:tc>
        <w:tc>
          <w:tcPr>
            <w:tcW w:w="4860" w:type="dxa"/>
          </w:tcPr>
          <w:p w14:paraId="4B0A061C" w14:textId="77777777" w:rsidR="008C05E4" w:rsidRDefault="008C05E4" w:rsidP="005C0336">
            <w:pPr>
              <w:pStyle w:val="Compact"/>
            </w:pPr>
            <w:r>
              <w:t>Cattle Feedlots</w:t>
            </w:r>
          </w:p>
        </w:tc>
        <w:tc>
          <w:tcPr>
            <w:tcW w:w="1300" w:type="dxa"/>
          </w:tcPr>
          <w:p w14:paraId="5A992E78" w14:textId="77777777" w:rsidR="008C05E4" w:rsidRDefault="008C05E4" w:rsidP="005C0336">
            <w:pPr>
              <w:pStyle w:val="Compact"/>
              <w:jc w:val="right"/>
            </w:pPr>
            <w:r>
              <w:t>2.847</w:t>
            </w:r>
          </w:p>
        </w:tc>
        <w:tc>
          <w:tcPr>
            <w:tcW w:w="2288" w:type="dxa"/>
          </w:tcPr>
          <w:p w14:paraId="4198AAAE" w14:textId="77777777" w:rsidR="008C05E4" w:rsidRDefault="008C05E4" w:rsidP="005C0336">
            <w:pPr>
              <w:pStyle w:val="Compact"/>
              <w:jc w:val="right"/>
            </w:pPr>
            <w:r>
              <w:t>0.045</w:t>
            </w:r>
          </w:p>
        </w:tc>
        <w:tc>
          <w:tcPr>
            <w:tcW w:w="2402" w:type="dxa"/>
          </w:tcPr>
          <w:p w14:paraId="18D89D12" w14:textId="77777777" w:rsidR="008C05E4" w:rsidRDefault="008C05E4" w:rsidP="005C0336">
            <w:pPr>
              <w:pStyle w:val="Compact"/>
              <w:jc w:val="right"/>
            </w:pPr>
            <w:r>
              <w:t>2.893</w:t>
            </w:r>
          </w:p>
        </w:tc>
      </w:tr>
      <w:tr w:rsidR="008C05E4" w14:paraId="76301D32" w14:textId="77777777" w:rsidTr="008C05E4">
        <w:tc>
          <w:tcPr>
            <w:tcW w:w="1098" w:type="dxa"/>
          </w:tcPr>
          <w:p w14:paraId="67569E30" w14:textId="77777777" w:rsidR="008C05E4" w:rsidRDefault="008C05E4" w:rsidP="005C0336">
            <w:pPr>
              <w:pStyle w:val="Compact"/>
              <w:jc w:val="right"/>
            </w:pPr>
            <w:r>
              <w:t>112130</w:t>
            </w:r>
          </w:p>
        </w:tc>
        <w:tc>
          <w:tcPr>
            <w:tcW w:w="4860" w:type="dxa"/>
          </w:tcPr>
          <w:p w14:paraId="00FF8AC2" w14:textId="77777777" w:rsidR="008C05E4" w:rsidRDefault="008C05E4" w:rsidP="005C0336">
            <w:pPr>
              <w:pStyle w:val="Compact"/>
            </w:pPr>
            <w:r>
              <w:t>Dual-Purpose Cattle Ranching and Farming</w:t>
            </w:r>
          </w:p>
        </w:tc>
        <w:tc>
          <w:tcPr>
            <w:tcW w:w="1300" w:type="dxa"/>
          </w:tcPr>
          <w:p w14:paraId="667AD67E" w14:textId="77777777" w:rsidR="008C05E4" w:rsidRDefault="008C05E4" w:rsidP="005C0336">
            <w:pPr>
              <w:pStyle w:val="Compact"/>
              <w:jc w:val="right"/>
            </w:pPr>
            <w:r>
              <w:t>2.847</w:t>
            </w:r>
          </w:p>
        </w:tc>
        <w:tc>
          <w:tcPr>
            <w:tcW w:w="2288" w:type="dxa"/>
          </w:tcPr>
          <w:p w14:paraId="11838B73" w14:textId="77777777" w:rsidR="008C05E4" w:rsidRDefault="008C05E4" w:rsidP="005C0336">
            <w:pPr>
              <w:pStyle w:val="Compact"/>
              <w:jc w:val="right"/>
            </w:pPr>
            <w:r>
              <w:t>0.045</w:t>
            </w:r>
          </w:p>
        </w:tc>
        <w:tc>
          <w:tcPr>
            <w:tcW w:w="2402" w:type="dxa"/>
          </w:tcPr>
          <w:p w14:paraId="7E897A63" w14:textId="77777777" w:rsidR="008C05E4" w:rsidRDefault="008C05E4" w:rsidP="005C0336">
            <w:pPr>
              <w:pStyle w:val="Compact"/>
              <w:jc w:val="right"/>
            </w:pPr>
            <w:r>
              <w:t>2.893</w:t>
            </w:r>
          </w:p>
        </w:tc>
      </w:tr>
      <w:tr w:rsidR="008C05E4" w14:paraId="7265CAE5" w14:textId="77777777" w:rsidTr="008C05E4">
        <w:tc>
          <w:tcPr>
            <w:tcW w:w="1098" w:type="dxa"/>
          </w:tcPr>
          <w:p w14:paraId="2EDCEBCB" w14:textId="77777777" w:rsidR="008C05E4" w:rsidRDefault="008C05E4" w:rsidP="005C0336">
            <w:pPr>
              <w:pStyle w:val="Compact"/>
              <w:jc w:val="right"/>
            </w:pPr>
            <w:r>
              <w:t>112120</w:t>
            </w:r>
          </w:p>
        </w:tc>
        <w:tc>
          <w:tcPr>
            <w:tcW w:w="4860" w:type="dxa"/>
          </w:tcPr>
          <w:p w14:paraId="6C4EA27C" w14:textId="77777777" w:rsidR="008C05E4" w:rsidRDefault="008C05E4" w:rsidP="005C0336">
            <w:pPr>
              <w:pStyle w:val="Compact"/>
            </w:pPr>
            <w:r>
              <w:t>Dairy Cattle and Milk Production</w:t>
            </w:r>
          </w:p>
        </w:tc>
        <w:tc>
          <w:tcPr>
            <w:tcW w:w="1300" w:type="dxa"/>
          </w:tcPr>
          <w:p w14:paraId="1FBC63CA" w14:textId="77777777" w:rsidR="008C05E4" w:rsidRDefault="008C05E4" w:rsidP="005C0336">
            <w:pPr>
              <w:pStyle w:val="Compact"/>
              <w:jc w:val="right"/>
            </w:pPr>
            <w:r>
              <w:t>1.682</w:t>
            </w:r>
          </w:p>
        </w:tc>
        <w:tc>
          <w:tcPr>
            <w:tcW w:w="2288" w:type="dxa"/>
          </w:tcPr>
          <w:p w14:paraId="194CEFDC" w14:textId="77777777" w:rsidR="008C05E4" w:rsidRDefault="008C05E4" w:rsidP="005C0336">
            <w:pPr>
              <w:pStyle w:val="Compact"/>
              <w:jc w:val="right"/>
            </w:pPr>
            <w:r>
              <w:t>0.042</w:t>
            </w:r>
          </w:p>
        </w:tc>
        <w:tc>
          <w:tcPr>
            <w:tcW w:w="2402" w:type="dxa"/>
          </w:tcPr>
          <w:p w14:paraId="379A9C98" w14:textId="77777777" w:rsidR="008C05E4" w:rsidRDefault="008C05E4" w:rsidP="005C0336">
            <w:pPr>
              <w:pStyle w:val="Compact"/>
              <w:jc w:val="right"/>
            </w:pPr>
            <w:r>
              <w:t>1.724</w:t>
            </w:r>
          </w:p>
        </w:tc>
      </w:tr>
      <w:tr w:rsidR="008C05E4" w14:paraId="3BE5C2FA" w14:textId="77777777" w:rsidTr="008C05E4">
        <w:tc>
          <w:tcPr>
            <w:tcW w:w="1098" w:type="dxa"/>
          </w:tcPr>
          <w:p w14:paraId="4625A54F" w14:textId="77777777" w:rsidR="008C05E4" w:rsidRDefault="008C05E4" w:rsidP="005C0336">
            <w:pPr>
              <w:pStyle w:val="Compact"/>
              <w:jc w:val="right"/>
            </w:pPr>
            <w:r>
              <w:t>327410</w:t>
            </w:r>
          </w:p>
        </w:tc>
        <w:tc>
          <w:tcPr>
            <w:tcW w:w="4860" w:type="dxa"/>
          </w:tcPr>
          <w:p w14:paraId="2D4393C1" w14:textId="77777777" w:rsidR="008C05E4" w:rsidRDefault="008C05E4" w:rsidP="005C0336">
            <w:pPr>
              <w:pStyle w:val="Compact"/>
            </w:pPr>
            <w:r>
              <w:t>Lime Manufacturing</w:t>
            </w:r>
          </w:p>
        </w:tc>
        <w:tc>
          <w:tcPr>
            <w:tcW w:w="1300" w:type="dxa"/>
          </w:tcPr>
          <w:p w14:paraId="1488149B" w14:textId="77777777" w:rsidR="008C05E4" w:rsidRDefault="008C05E4" w:rsidP="005C0336">
            <w:pPr>
              <w:pStyle w:val="Compact"/>
              <w:jc w:val="right"/>
            </w:pPr>
            <w:r>
              <w:t>1.560</w:t>
            </w:r>
          </w:p>
        </w:tc>
        <w:tc>
          <w:tcPr>
            <w:tcW w:w="2288" w:type="dxa"/>
          </w:tcPr>
          <w:p w14:paraId="438B2858" w14:textId="77777777" w:rsidR="008C05E4" w:rsidRDefault="008C05E4" w:rsidP="005C0336">
            <w:pPr>
              <w:pStyle w:val="Compact"/>
              <w:jc w:val="right"/>
            </w:pPr>
            <w:r>
              <w:t>0.063</w:t>
            </w:r>
          </w:p>
        </w:tc>
        <w:tc>
          <w:tcPr>
            <w:tcW w:w="2402" w:type="dxa"/>
          </w:tcPr>
          <w:p w14:paraId="4C978DFC" w14:textId="77777777" w:rsidR="008C05E4" w:rsidRDefault="008C05E4" w:rsidP="005C0336">
            <w:pPr>
              <w:pStyle w:val="Compact"/>
              <w:jc w:val="right"/>
            </w:pPr>
            <w:r>
              <w:t>1.623</w:t>
            </w:r>
          </w:p>
        </w:tc>
      </w:tr>
      <w:tr w:rsidR="008C05E4" w14:paraId="2779F8A1" w14:textId="77777777" w:rsidTr="008C05E4">
        <w:tc>
          <w:tcPr>
            <w:tcW w:w="1098" w:type="dxa"/>
          </w:tcPr>
          <w:p w14:paraId="7875D273" w14:textId="77777777" w:rsidR="008C05E4" w:rsidRDefault="008C05E4" w:rsidP="005C0336">
            <w:pPr>
              <w:pStyle w:val="Compact"/>
              <w:jc w:val="right"/>
            </w:pPr>
            <w:r>
              <w:t>327420</w:t>
            </w:r>
          </w:p>
        </w:tc>
        <w:tc>
          <w:tcPr>
            <w:tcW w:w="4860" w:type="dxa"/>
          </w:tcPr>
          <w:p w14:paraId="5B17799D" w14:textId="77777777" w:rsidR="008C05E4" w:rsidRDefault="008C05E4" w:rsidP="005C0336">
            <w:pPr>
              <w:pStyle w:val="Compact"/>
            </w:pPr>
            <w:r>
              <w:t>Gypsum Product Manufacturing</w:t>
            </w:r>
          </w:p>
        </w:tc>
        <w:tc>
          <w:tcPr>
            <w:tcW w:w="1300" w:type="dxa"/>
          </w:tcPr>
          <w:p w14:paraId="2EA17558" w14:textId="77777777" w:rsidR="008C05E4" w:rsidRDefault="008C05E4" w:rsidP="005C0336">
            <w:pPr>
              <w:pStyle w:val="Compact"/>
              <w:jc w:val="right"/>
            </w:pPr>
            <w:r>
              <w:t>1.560</w:t>
            </w:r>
          </w:p>
        </w:tc>
        <w:tc>
          <w:tcPr>
            <w:tcW w:w="2288" w:type="dxa"/>
          </w:tcPr>
          <w:p w14:paraId="031F8DBC" w14:textId="77777777" w:rsidR="008C05E4" w:rsidRDefault="008C05E4" w:rsidP="005C0336">
            <w:pPr>
              <w:pStyle w:val="Compact"/>
              <w:jc w:val="right"/>
            </w:pPr>
            <w:r>
              <w:t>0.063</w:t>
            </w:r>
          </w:p>
        </w:tc>
        <w:tc>
          <w:tcPr>
            <w:tcW w:w="2402" w:type="dxa"/>
          </w:tcPr>
          <w:p w14:paraId="6C8D13D3" w14:textId="77777777" w:rsidR="008C05E4" w:rsidRDefault="008C05E4" w:rsidP="005C0336">
            <w:pPr>
              <w:pStyle w:val="Compact"/>
              <w:jc w:val="right"/>
            </w:pPr>
            <w:r>
              <w:t>1.623</w:t>
            </w:r>
          </w:p>
        </w:tc>
      </w:tr>
      <w:tr w:rsidR="008C05E4" w14:paraId="3C011273" w14:textId="77777777" w:rsidTr="008C05E4">
        <w:tc>
          <w:tcPr>
            <w:tcW w:w="1098" w:type="dxa"/>
          </w:tcPr>
          <w:p w14:paraId="0D441255" w14:textId="77777777" w:rsidR="008C05E4" w:rsidRDefault="008C05E4" w:rsidP="005C0336">
            <w:pPr>
              <w:pStyle w:val="Compact"/>
              <w:jc w:val="right"/>
            </w:pPr>
            <w:r>
              <w:t>486110</w:t>
            </w:r>
          </w:p>
        </w:tc>
        <w:tc>
          <w:tcPr>
            <w:tcW w:w="4860" w:type="dxa"/>
          </w:tcPr>
          <w:p w14:paraId="077FF231" w14:textId="77777777" w:rsidR="008C05E4" w:rsidRDefault="008C05E4" w:rsidP="005C0336">
            <w:pPr>
              <w:pStyle w:val="Compact"/>
            </w:pPr>
            <w:r>
              <w:t>Pipeline Transportation of Crude Oil</w:t>
            </w:r>
          </w:p>
        </w:tc>
        <w:tc>
          <w:tcPr>
            <w:tcW w:w="1300" w:type="dxa"/>
          </w:tcPr>
          <w:p w14:paraId="527AF4D3" w14:textId="77777777" w:rsidR="008C05E4" w:rsidRDefault="008C05E4" w:rsidP="005C0336">
            <w:pPr>
              <w:pStyle w:val="Compact"/>
              <w:jc w:val="right"/>
            </w:pPr>
            <w:r>
              <w:t>1.619</w:t>
            </w:r>
          </w:p>
        </w:tc>
        <w:tc>
          <w:tcPr>
            <w:tcW w:w="2288" w:type="dxa"/>
          </w:tcPr>
          <w:p w14:paraId="520F373D" w14:textId="77777777" w:rsidR="008C05E4" w:rsidRDefault="008C05E4" w:rsidP="005C0336">
            <w:pPr>
              <w:pStyle w:val="Compact"/>
              <w:jc w:val="right"/>
            </w:pPr>
            <w:r>
              <w:t>0.000</w:t>
            </w:r>
          </w:p>
        </w:tc>
        <w:tc>
          <w:tcPr>
            <w:tcW w:w="2402" w:type="dxa"/>
          </w:tcPr>
          <w:p w14:paraId="2CC71147" w14:textId="77777777" w:rsidR="008C05E4" w:rsidRDefault="008C05E4" w:rsidP="005C0336">
            <w:pPr>
              <w:pStyle w:val="Compact"/>
              <w:jc w:val="right"/>
            </w:pPr>
            <w:r>
              <w:t>1.619</w:t>
            </w:r>
          </w:p>
        </w:tc>
      </w:tr>
      <w:tr w:rsidR="008C05E4" w14:paraId="7F6173DC" w14:textId="77777777" w:rsidTr="008C05E4">
        <w:tc>
          <w:tcPr>
            <w:tcW w:w="1098" w:type="dxa"/>
          </w:tcPr>
          <w:p w14:paraId="102D9A60" w14:textId="77777777" w:rsidR="008C05E4" w:rsidRDefault="008C05E4" w:rsidP="005C0336">
            <w:pPr>
              <w:pStyle w:val="Compact"/>
              <w:jc w:val="right"/>
            </w:pPr>
            <w:r>
              <w:t>486210</w:t>
            </w:r>
          </w:p>
        </w:tc>
        <w:tc>
          <w:tcPr>
            <w:tcW w:w="4860" w:type="dxa"/>
          </w:tcPr>
          <w:p w14:paraId="40880B20" w14:textId="77777777" w:rsidR="008C05E4" w:rsidRDefault="008C05E4" w:rsidP="005C0336">
            <w:pPr>
              <w:pStyle w:val="Compact"/>
            </w:pPr>
            <w:r>
              <w:t>Pipeline Transportation of Natural Gas</w:t>
            </w:r>
          </w:p>
        </w:tc>
        <w:tc>
          <w:tcPr>
            <w:tcW w:w="1300" w:type="dxa"/>
          </w:tcPr>
          <w:p w14:paraId="3E1F9195" w14:textId="77777777" w:rsidR="008C05E4" w:rsidRDefault="008C05E4" w:rsidP="005C0336">
            <w:pPr>
              <w:pStyle w:val="Compact"/>
              <w:jc w:val="right"/>
            </w:pPr>
            <w:r>
              <w:t>1.619</w:t>
            </w:r>
          </w:p>
        </w:tc>
        <w:tc>
          <w:tcPr>
            <w:tcW w:w="2288" w:type="dxa"/>
          </w:tcPr>
          <w:p w14:paraId="5C20DB7E" w14:textId="77777777" w:rsidR="008C05E4" w:rsidRDefault="008C05E4" w:rsidP="005C0336">
            <w:pPr>
              <w:pStyle w:val="Compact"/>
              <w:jc w:val="right"/>
            </w:pPr>
            <w:r>
              <w:t>0.000</w:t>
            </w:r>
          </w:p>
        </w:tc>
        <w:tc>
          <w:tcPr>
            <w:tcW w:w="2402" w:type="dxa"/>
          </w:tcPr>
          <w:p w14:paraId="73914CDC" w14:textId="77777777" w:rsidR="008C05E4" w:rsidRDefault="008C05E4" w:rsidP="005C0336">
            <w:pPr>
              <w:pStyle w:val="Compact"/>
              <w:jc w:val="right"/>
            </w:pPr>
            <w:r>
              <w:t>1.619</w:t>
            </w:r>
          </w:p>
        </w:tc>
      </w:tr>
      <w:tr w:rsidR="008C05E4" w14:paraId="446A777C" w14:textId="77777777" w:rsidTr="008C05E4">
        <w:tc>
          <w:tcPr>
            <w:tcW w:w="1098" w:type="dxa"/>
          </w:tcPr>
          <w:p w14:paraId="58A6BEC0" w14:textId="77777777" w:rsidR="008C05E4" w:rsidRDefault="008C05E4" w:rsidP="005C0336">
            <w:pPr>
              <w:pStyle w:val="Compact"/>
              <w:jc w:val="right"/>
            </w:pPr>
            <w:r>
              <w:t>486910</w:t>
            </w:r>
          </w:p>
        </w:tc>
        <w:tc>
          <w:tcPr>
            <w:tcW w:w="4860" w:type="dxa"/>
          </w:tcPr>
          <w:p w14:paraId="0FF0A119" w14:textId="77777777" w:rsidR="008C05E4" w:rsidRDefault="008C05E4" w:rsidP="005C0336">
            <w:pPr>
              <w:pStyle w:val="Compact"/>
            </w:pPr>
            <w:r>
              <w:t>Pipeline Transportation of Refined Petroleum Products</w:t>
            </w:r>
          </w:p>
        </w:tc>
        <w:tc>
          <w:tcPr>
            <w:tcW w:w="1300" w:type="dxa"/>
          </w:tcPr>
          <w:p w14:paraId="1D60EB4A" w14:textId="77777777" w:rsidR="008C05E4" w:rsidRDefault="008C05E4" w:rsidP="005C0336">
            <w:pPr>
              <w:pStyle w:val="Compact"/>
              <w:jc w:val="right"/>
            </w:pPr>
            <w:r>
              <w:t>1.619</w:t>
            </w:r>
          </w:p>
        </w:tc>
        <w:tc>
          <w:tcPr>
            <w:tcW w:w="2288" w:type="dxa"/>
          </w:tcPr>
          <w:p w14:paraId="2A2F39FF" w14:textId="77777777" w:rsidR="008C05E4" w:rsidRDefault="008C05E4" w:rsidP="005C0336">
            <w:pPr>
              <w:pStyle w:val="Compact"/>
              <w:jc w:val="right"/>
            </w:pPr>
            <w:r>
              <w:t>0.000</w:t>
            </w:r>
          </w:p>
        </w:tc>
        <w:tc>
          <w:tcPr>
            <w:tcW w:w="2402" w:type="dxa"/>
          </w:tcPr>
          <w:p w14:paraId="70D0A361" w14:textId="77777777" w:rsidR="008C05E4" w:rsidRDefault="008C05E4" w:rsidP="005C0336">
            <w:pPr>
              <w:pStyle w:val="Compact"/>
              <w:jc w:val="right"/>
            </w:pPr>
            <w:r>
              <w:t>1.619</w:t>
            </w:r>
          </w:p>
        </w:tc>
      </w:tr>
      <w:tr w:rsidR="008C05E4" w14:paraId="0A7471DC" w14:textId="77777777" w:rsidTr="008C05E4">
        <w:tc>
          <w:tcPr>
            <w:tcW w:w="1098" w:type="dxa"/>
          </w:tcPr>
          <w:p w14:paraId="4376BA98" w14:textId="77777777" w:rsidR="008C05E4" w:rsidRDefault="008C05E4" w:rsidP="005C0336">
            <w:pPr>
              <w:pStyle w:val="Compact"/>
              <w:jc w:val="right"/>
            </w:pPr>
            <w:r>
              <w:t>486990</w:t>
            </w:r>
          </w:p>
        </w:tc>
        <w:tc>
          <w:tcPr>
            <w:tcW w:w="4860" w:type="dxa"/>
          </w:tcPr>
          <w:p w14:paraId="3CE13E4C" w14:textId="77777777" w:rsidR="008C05E4" w:rsidRDefault="008C05E4" w:rsidP="005C0336">
            <w:pPr>
              <w:pStyle w:val="Compact"/>
            </w:pPr>
            <w:r>
              <w:t>All Other Pipeline Transportation</w:t>
            </w:r>
          </w:p>
        </w:tc>
        <w:tc>
          <w:tcPr>
            <w:tcW w:w="1300" w:type="dxa"/>
          </w:tcPr>
          <w:p w14:paraId="281FC4B9" w14:textId="77777777" w:rsidR="008C05E4" w:rsidRDefault="008C05E4" w:rsidP="005C0336">
            <w:pPr>
              <w:pStyle w:val="Compact"/>
              <w:jc w:val="right"/>
            </w:pPr>
            <w:r>
              <w:t>1.619</w:t>
            </w:r>
          </w:p>
        </w:tc>
        <w:tc>
          <w:tcPr>
            <w:tcW w:w="2288" w:type="dxa"/>
          </w:tcPr>
          <w:p w14:paraId="65CAC240" w14:textId="77777777" w:rsidR="008C05E4" w:rsidRDefault="008C05E4" w:rsidP="005C0336">
            <w:pPr>
              <w:pStyle w:val="Compact"/>
              <w:jc w:val="right"/>
            </w:pPr>
            <w:r>
              <w:t>0.000</w:t>
            </w:r>
          </w:p>
        </w:tc>
        <w:tc>
          <w:tcPr>
            <w:tcW w:w="2402" w:type="dxa"/>
          </w:tcPr>
          <w:p w14:paraId="2E8AF14F" w14:textId="77777777" w:rsidR="008C05E4" w:rsidRDefault="008C05E4" w:rsidP="005C0336">
            <w:pPr>
              <w:pStyle w:val="Compact"/>
              <w:jc w:val="right"/>
            </w:pPr>
            <w:r>
              <w:t>1.619</w:t>
            </w:r>
          </w:p>
        </w:tc>
      </w:tr>
      <w:tr w:rsidR="008C05E4" w14:paraId="0E0BF23D" w14:textId="77777777" w:rsidTr="008C05E4">
        <w:tc>
          <w:tcPr>
            <w:tcW w:w="1098" w:type="dxa"/>
          </w:tcPr>
          <w:p w14:paraId="3040CBE1" w14:textId="77777777" w:rsidR="008C05E4" w:rsidRDefault="008C05E4" w:rsidP="005C0336">
            <w:pPr>
              <w:pStyle w:val="Compact"/>
              <w:jc w:val="right"/>
            </w:pPr>
            <w:r>
              <w:t>325120</w:t>
            </w:r>
          </w:p>
        </w:tc>
        <w:tc>
          <w:tcPr>
            <w:tcW w:w="4860" w:type="dxa"/>
          </w:tcPr>
          <w:p w14:paraId="40DA511A" w14:textId="77777777" w:rsidR="008C05E4" w:rsidRDefault="008C05E4" w:rsidP="005C0336">
            <w:pPr>
              <w:pStyle w:val="Compact"/>
            </w:pPr>
            <w:r>
              <w:t>Industrial Gas Manufacturing</w:t>
            </w:r>
          </w:p>
        </w:tc>
        <w:tc>
          <w:tcPr>
            <w:tcW w:w="1300" w:type="dxa"/>
          </w:tcPr>
          <w:p w14:paraId="12662E89" w14:textId="77777777" w:rsidR="008C05E4" w:rsidRDefault="008C05E4" w:rsidP="005C0336">
            <w:pPr>
              <w:pStyle w:val="Compact"/>
              <w:jc w:val="right"/>
            </w:pPr>
            <w:r>
              <w:t>1.163</w:t>
            </w:r>
          </w:p>
        </w:tc>
        <w:tc>
          <w:tcPr>
            <w:tcW w:w="2288" w:type="dxa"/>
          </w:tcPr>
          <w:p w14:paraId="7513FA4F" w14:textId="77777777" w:rsidR="008C05E4" w:rsidRDefault="008C05E4" w:rsidP="005C0336">
            <w:pPr>
              <w:pStyle w:val="Compact"/>
              <w:jc w:val="right"/>
            </w:pPr>
            <w:r>
              <w:t>0.048</w:t>
            </w:r>
          </w:p>
        </w:tc>
        <w:tc>
          <w:tcPr>
            <w:tcW w:w="2402" w:type="dxa"/>
          </w:tcPr>
          <w:p w14:paraId="1A769FEA" w14:textId="77777777" w:rsidR="008C05E4" w:rsidRDefault="008C05E4" w:rsidP="005C0336">
            <w:pPr>
              <w:pStyle w:val="Compact"/>
              <w:jc w:val="right"/>
            </w:pPr>
            <w:r>
              <w:t>1.211</w:t>
            </w:r>
          </w:p>
        </w:tc>
      </w:tr>
      <w:tr w:rsidR="008C05E4" w14:paraId="35DA0238" w14:textId="77777777" w:rsidTr="008C05E4">
        <w:tc>
          <w:tcPr>
            <w:tcW w:w="1098" w:type="dxa"/>
          </w:tcPr>
          <w:p w14:paraId="7B58D1AB" w14:textId="77777777" w:rsidR="008C05E4" w:rsidRDefault="008C05E4" w:rsidP="005C0336">
            <w:pPr>
              <w:pStyle w:val="Compact"/>
              <w:jc w:val="right"/>
            </w:pPr>
            <w:r>
              <w:t>325193</w:t>
            </w:r>
          </w:p>
        </w:tc>
        <w:tc>
          <w:tcPr>
            <w:tcW w:w="4860" w:type="dxa"/>
          </w:tcPr>
          <w:p w14:paraId="19708037" w14:textId="77777777" w:rsidR="008C05E4" w:rsidRDefault="008C05E4" w:rsidP="005C0336">
            <w:pPr>
              <w:pStyle w:val="Compact"/>
            </w:pPr>
            <w:r>
              <w:t>Ethyl Alcohol Manufacturing</w:t>
            </w:r>
          </w:p>
        </w:tc>
        <w:tc>
          <w:tcPr>
            <w:tcW w:w="1300" w:type="dxa"/>
          </w:tcPr>
          <w:p w14:paraId="0BF37176" w14:textId="77777777" w:rsidR="008C05E4" w:rsidRDefault="008C05E4" w:rsidP="005C0336">
            <w:pPr>
              <w:pStyle w:val="Compact"/>
              <w:jc w:val="right"/>
            </w:pPr>
            <w:r>
              <w:t>1.166</w:t>
            </w:r>
          </w:p>
        </w:tc>
        <w:tc>
          <w:tcPr>
            <w:tcW w:w="2288" w:type="dxa"/>
          </w:tcPr>
          <w:p w14:paraId="1554672E" w14:textId="77777777" w:rsidR="008C05E4" w:rsidRDefault="008C05E4" w:rsidP="005C0336">
            <w:pPr>
              <w:pStyle w:val="Compact"/>
              <w:jc w:val="right"/>
            </w:pPr>
            <w:r>
              <w:t>0.018</w:t>
            </w:r>
          </w:p>
        </w:tc>
        <w:tc>
          <w:tcPr>
            <w:tcW w:w="2402" w:type="dxa"/>
          </w:tcPr>
          <w:p w14:paraId="620702BC" w14:textId="77777777" w:rsidR="008C05E4" w:rsidRDefault="008C05E4" w:rsidP="005C0336">
            <w:pPr>
              <w:pStyle w:val="Compact"/>
              <w:jc w:val="right"/>
            </w:pPr>
            <w:r>
              <w:t>1.184</w:t>
            </w:r>
          </w:p>
        </w:tc>
      </w:tr>
      <w:tr w:rsidR="008C05E4" w14:paraId="03A1E207" w14:textId="77777777" w:rsidTr="008C05E4">
        <w:tc>
          <w:tcPr>
            <w:tcW w:w="1098" w:type="dxa"/>
          </w:tcPr>
          <w:p w14:paraId="0793EA53" w14:textId="77777777" w:rsidR="008C05E4" w:rsidRDefault="008C05E4" w:rsidP="005C0336">
            <w:pPr>
              <w:pStyle w:val="Compact"/>
              <w:jc w:val="right"/>
            </w:pPr>
            <w:r>
              <w:lastRenderedPageBreak/>
              <w:t>325194</w:t>
            </w:r>
          </w:p>
        </w:tc>
        <w:tc>
          <w:tcPr>
            <w:tcW w:w="4860" w:type="dxa"/>
          </w:tcPr>
          <w:p w14:paraId="50912CAC" w14:textId="77777777" w:rsidR="008C05E4" w:rsidRDefault="008C05E4" w:rsidP="005C0336">
            <w:pPr>
              <w:pStyle w:val="Compact"/>
            </w:pPr>
            <w:r>
              <w:t>Cyclic Crude, Intermediate, and Gum and Wood Chemical Manufacturing</w:t>
            </w:r>
          </w:p>
        </w:tc>
        <w:tc>
          <w:tcPr>
            <w:tcW w:w="1300" w:type="dxa"/>
          </w:tcPr>
          <w:p w14:paraId="6C6B9700" w14:textId="77777777" w:rsidR="008C05E4" w:rsidRDefault="008C05E4" w:rsidP="005C0336">
            <w:pPr>
              <w:pStyle w:val="Compact"/>
              <w:jc w:val="right"/>
            </w:pPr>
            <w:r>
              <w:t>1.166</w:t>
            </w:r>
          </w:p>
        </w:tc>
        <w:tc>
          <w:tcPr>
            <w:tcW w:w="2288" w:type="dxa"/>
          </w:tcPr>
          <w:p w14:paraId="768CD701" w14:textId="77777777" w:rsidR="008C05E4" w:rsidRDefault="008C05E4" w:rsidP="005C0336">
            <w:pPr>
              <w:pStyle w:val="Compact"/>
              <w:jc w:val="right"/>
            </w:pPr>
            <w:r>
              <w:t>0.018</w:t>
            </w:r>
          </w:p>
        </w:tc>
        <w:tc>
          <w:tcPr>
            <w:tcW w:w="2402" w:type="dxa"/>
          </w:tcPr>
          <w:p w14:paraId="142132E2" w14:textId="77777777" w:rsidR="008C05E4" w:rsidRDefault="008C05E4" w:rsidP="005C0336">
            <w:pPr>
              <w:pStyle w:val="Compact"/>
              <w:jc w:val="right"/>
            </w:pPr>
            <w:r>
              <w:t>1.184</w:t>
            </w:r>
          </w:p>
        </w:tc>
      </w:tr>
      <w:tr w:rsidR="008C05E4" w14:paraId="2FA5194C" w14:textId="77777777" w:rsidTr="008C05E4">
        <w:tc>
          <w:tcPr>
            <w:tcW w:w="1098" w:type="dxa"/>
          </w:tcPr>
          <w:p w14:paraId="7468CD94" w14:textId="77777777" w:rsidR="008C05E4" w:rsidRDefault="008C05E4" w:rsidP="005C0336">
            <w:pPr>
              <w:pStyle w:val="Compact"/>
              <w:jc w:val="right"/>
            </w:pPr>
            <w:r>
              <w:t>325199</w:t>
            </w:r>
          </w:p>
        </w:tc>
        <w:tc>
          <w:tcPr>
            <w:tcW w:w="4860" w:type="dxa"/>
          </w:tcPr>
          <w:p w14:paraId="73A398F4" w14:textId="77777777" w:rsidR="008C05E4" w:rsidRDefault="008C05E4" w:rsidP="005C0336">
            <w:pPr>
              <w:pStyle w:val="Compact"/>
            </w:pPr>
            <w:r>
              <w:t>All Other Basic Organic Chemical Manufacturing</w:t>
            </w:r>
          </w:p>
        </w:tc>
        <w:tc>
          <w:tcPr>
            <w:tcW w:w="1300" w:type="dxa"/>
          </w:tcPr>
          <w:p w14:paraId="662FC1F3" w14:textId="77777777" w:rsidR="008C05E4" w:rsidRDefault="008C05E4" w:rsidP="005C0336">
            <w:pPr>
              <w:pStyle w:val="Compact"/>
              <w:jc w:val="right"/>
            </w:pPr>
            <w:r>
              <w:t>1.166</w:t>
            </w:r>
          </w:p>
        </w:tc>
        <w:tc>
          <w:tcPr>
            <w:tcW w:w="2288" w:type="dxa"/>
          </w:tcPr>
          <w:p w14:paraId="5130641D" w14:textId="77777777" w:rsidR="008C05E4" w:rsidRDefault="008C05E4" w:rsidP="005C0336">
            <w:pPr>
              <w:pStyle w:val="Compact"/>
              <w:jc w:val="right"/>
            </w:pPr>
            <w:r>
              <w:t>0.018</w:t>
            </w:r>
          </w:p>
        </w:tc>
        <w:tc>
          <w:tcPr>
            <w:tcW w:w="2402" w:type="dxa"/>
          </w:tcPr>
          <w:p w14:paraId="487D8866" w14:textId="77777777" w:rsidR="008C05E4" w:rsidRDefault="008C05E4" w:rsidP="005C0336">
            <w:pPr>
              <w:pStyle w:val="Compact"/>
              <w:jc w:val="right"/>
            </w:pPr>
            <w:r>
              <w:t>1.184</w:t>
            </w:r>
          </w:p>
        </w:tc>
      </w:tr>
      <w:tr w:rsidR="008C05E4" w14:paraId="64360C7C" w14:textId="77777777" w:rsidTr="008C05E4">
        <w:tc>
          <w:tcPr>
            <w:tcW w:w="1098" w:type="dxa"/>
          </w:tcPr>
          <w:p w14:paraId="6BC850F3" w14:textId="77777777" w:rsidR="008C05E4" w:rsidRDefault="008C05E4" w:rsidP="005C0336">
            <w:pPr>
              <w:pStyle w:val="Compact"/>
              <w:jc w:val="right"/>
            </w:pPr>
            <w:r>
              <w:t>325311</w:t>
            </w:r>
          </w:p>
        </w:tc>
        <w:tc>
          <w:tcPr>
            <w:tcW w:w="4860" w:type="dxa"/>
          </w:tcPr>
          <w:p w14:paraId="7ED65A08" w14:textId="77777777" w:rsidR="008C05E4" w:rsidRDefault="008C05E4" w:rsidP="005C0336">
            <w:pPr>
              <w:pStyle w:val="Compact"/>
            </w:pPr>
            <w:r>
              <w:t>Nitrogenous Fertilizer Manufacturing</w:t>
            </w:r>
          </w:p>
        </w:tc>
        <w:tc>
          <w:tcPr>
            <w:tcW w:w="1300" w:type="dxa"/>
          </w:tcPr>
          <w:p w14:paraId="0048EA82" w14:textId="77777777" w:rsidR="008C05E4" w:rsidRDefault="008C05E4" w:rsidP="005C0336">
            <w:pPr>
              <w:pStyle w:val="Compact"/>
              <w:jc w:val="right"/>
            </w:pPr>
            <w:r>
              <w:t>1.114</w:t>
            </w:r>
          </w:p>
        </w:tc>
        <w:tc>
          <w:tcPr>
            <w:tcW w:w="2288" w:type="dxa"/>
          </w:tcPr>
          <w:p w14:paraId="08592B9C" w14:textId="77777777" w:rsidR="008C05E4" w:rsidRDefault="008C05E4" w:rsidP="005C0336">
            <w:pPr>
              <w:pStyle w:val="Compact"/>
              <w:jc w:val="right"/>
            </w:pPr>
            <w:r>
              <w:t>0.023</w:t>
            </w:r>
          </w:p>
        </w:tc>
        <w:tc>
          <w:tcPr>
            <w:tcW w:w="2402" w:type="dxa"/>
          </w:tcPr>
          <w:p w14:paraId="5FEAC3DB" w14:textId="77777777" w:rsidR="008C05E4" w:rsidRDefault="008C05E4" w:rsidP="005C0336">
            <w:pPr>
              <w:pStyle w:val="Compact"/>
              <w:jc w:val="right"/>
            </w:pPr>
            <w:r>
              <w:t>1.137</w:t>
            </w:r>
          </w:p>
        </w:tc>
      </w:tr>
      <w:tr w:rsidR="008C05E4" w14:paraId="562A57DC" w14:textId="77777777" w:rsidTr="008C05E4">
        <w:tc>
          <w:tcPr>
            <w:tcW w:w="1098" w:type="dxa"/>
          </w:tcPr>
          <w:p w14:paraId="0889D262" w14:textId="77777777" w:rsidR="008C05E4" w:rsidRDefault="008C05E4" w:rsidP="005C0336">
            <w:pPr>
              <w:pStyle w:val="Compact"/>
              <w:jc w:val="right"/>
            </w:pPr>
            <w:r>
              <w:t>325312</w:t>
            </w:r>
          </w:p>
        </w:tc>
        <w:tc>
          <w:tcPr>
            <w:tcW w:w="4860" w:type="dxa"/>
          </w:tcPr>
          <w:p w14:paraId="2A58AB35" w14:textId="77777777" w:rsidR="008C05E4" w:rsidRDefault="008C05E4" w:rsidP="005C0336">
            <w:pPr>
              <w:pStyle w:val="Compact"/>
            </w:pPr>
            <w:r>
              <w:t>Phosphatic Fertilizer Manufacturing</w:t>
            </w:r>
          </w:p>
        </w:tc>
        <w:tc>
          <w:tcPr>
            <w:tcW w:w="1300" w:type="dxa"/>
          </w:tcPr>
          <w:p w14:paraId="26ACCD2C" w14:textId="77777777" w:rsidR="008C05E4" w:rsidRDefault="008C05E4" w:rsidP="005C0336">
            <w:pPr>
              <w:pStyle w:val="Compact"/>
              <w:jc w:val="right"/>
            </w:pPr>
            <w:r>
              <w:t>1.114</w:t>
            </w:r>
          </w:p>
        </w:tc>
        <w:tc>
          <w:tcPr>
            <w:tcW w:w="2288" w:type="dxa"/>
          </w:tcPr>
          <w:p w14:paraId="4E47DE4F" w14:textId="77777777" w:rsidR="008C05E4" w:rsidRDefault="008C05E4" w:rsidP="005C0336">
            <w:pPr>
              <w:pStyle w:val="Compact"/>
              <w:jc w:val="right"/>
            </w:pPr>
            <w:r>
              <w:t>0.023</w:t>
            </w:r>
          </w:p>
        </w:tc>
        <w:tc>
          <w:tcPr>
            <w:tcW w:w="2402" w:type="dxa"/>
          </w:tcPr>
          <w:p w14:paraId="362867EC" w14:textId="77777777" w:rsidR="008C05E4" w:rsidRDefault="008C05E4" w:rsidP="005C0336">
            <w:pPr>
              <w:pStyle w:val="Compact"/>
              <w:jc w:val="right"/>
            </w:pPr>
            <w:r>
              <w:t>1.137</w:t>
            </w:r>
          </w:p>
        </w:tc>
      </w:tr>
      <w:tr w:rsidR="008C05E4" w14:paraId="6BD1D45A" w14:textId="77777777" w:rsidTr="008C05E4">
        <w:tc>
          <w:tcPr>
            <w:tcW w:w="1098" w:type="dxa"/>
          </w:tcPr>
          <w:p w14:paraId="31796B57" w14:textId="77777777" w:rsidR="008C05E4" w:rsidRDefault="008C05E4" w:rsidP="005C0336">
            <w:pPr>
              <w:pStyle w:val="Compact"/>
              <w:jc w:val="right"/>
            </w:pPr>
            <w:r>
              <w:t>325314</w:t>
            </w:r>
          </w:p>
        </w:tc>
        <w:tc>
          <w:tcPr>
            <w:tcW w:w="4860" w:type="dxa"/>
          </w:tcPr>
          <w:p w14:paraId="1A17A8F9" w14:textId="77777777" w:rsidR="008C05E4" w:rsidRDefault="008C05E4" w:rsidP="005C0336">
            <w:pPr>
              <w:pStyle w:val="Compact"/>
            </w:pPr>
            <w:r>
              <w:t>Fertilizer (Mixing Only) Manufacturing</w:t>
            </w:r>
          </w:p>
        </w:tc>
        <w:tc>
          <w:tcPr>
            <w:tcW w:w="1300" w:type="dxa"/>
          </w:tcPr>
          <w:p w14:paraId="18BA0D0F" w14:textId="77777777" w:rsidR="008C05E4" w:rsidRDefault="008C05E4" w:rsidP="005C0336">
            <w:pPr>
              <w:pStyle w:val="Compact"/>
              <w:jc w:val="right"/>
            </w:pPr>
            <w:r>
              <w:t>1.114</w:t>
            </w:r>
          </w:p>
        </w:tc>
        <w:tc>
          <w:tcPr>
            <w:tcW w:w="2288" w:type="dxa"/>
          </w:tcPr>
          <w:p w14:paraId="3493BF8F" w14:textId="77777777" w:rsidR="008C05E4" w:rsidRDefault="008C05E4" w:rsidP="005C0336">
            <w:pPr>
              <w:pStyle w:val="Compact"/>
              <w:jc w:val="right"/>
            </w:pPr>
            <w:r>
              <w:t>0.023</w:t>
            </w:r>
          </w:p>
        </w:tc>
        <w:tc>
          <w:tcPr>
            <w:tcW w:w="2402" w:type="dxa"/>
          </w:tcPr>
          <w:p w14:paraId="232892E3" w14:textId="77777777" w:rsidR="008C05E4" w:rsidRDefault="008C05E4" w:rsidP="005C0336">
            <w:pPr>
              <w:pStyle w:val="Compact"/>
              <w:jc w:val="right"/>
            </w:pPr>
            <w:r>
              <w:t>1.137</w:t>
            </w:r>
          </w:p>
        </w:tc>
      </w:tr>
      <w:tr w:rsidR="008C05E4" w14:paraId="06B2F815" w14:textId="77777777" w:rsidTr="008C05E4">
        <w:tc>
          <w:tcPr>
            <w:tcW w:w="1098" w:type="dxa"/>
          </w:tcPr>
          <w:p w14:paraId="6BCC70DC" w14:textId="77777777" w:rsidR="008C05E4" w:rsidRDefault="008C05E4" w:rsidP="005C0336">
            <w:pPr>
              <w:pStyle w:val="Compact"/>
              <w:jc w:val="right"/>
            </w:pPr>
            <w:r>
              <w:t>112210</w:t>
            </w:r>
          </w:p>
        </w:tc>
        <w:tc>
          <w:tcPr>
            <w:tcW w:w="4860" w:type="dxa"/>
          </w:tcPr>
          <w:p w14:paraId="1D12A4FB" w14:textId="77777777" w:rsidR="008C05E4" w:rsidRDefault="008C05E4" w:rsidP="005C0336">
            <w:pPr>
              <w:pStyle w:val="Compact"/>
            </w:pPr>
            <w:r>
              <w:t>Hog and Pig Farming</w:t>
            </w:r>
          </w:p>
        </w:tc>
        <w:tc>
          <w:tcPr>
            <w:tcW w:w="1300" w:type="dxa"/>
          </w:tcPr>
          <w:p w14:paraId="6F4FEACD" w14:textId="77777777" w:rsidR="008C05E4" w:rsidRDefault="008C05E4" w:rsidP="005C0336">
            <w:pPr>
              <w:pStyle w:val="Compact"/>
              <w:jc w:val="right"/>
            </w:pPr>
            <w:r>
              <w:t>1.077</w:t>
            </w:r>
          </w:p>
        </w:tc>
        <w:tc>
          <w:tcPr>
            <w:tcW w:w="2288" w:type="dxa"/>
          </w:tcPr>
          <w:p w14:paraId="67EFAE76" w14:textId="77777777" w:rsidR="008C05E4" w:rsidRDefault="008C05E4" w:rsidP="005C0336">
            <w:pPr>
              <w:pStyle w:val="Compact"/>
              <w:jc w:val="right"/>
            </w:pPr>
            <w:r>
              <w:t>0.051</w:t>
            </w:r>
          </w:p>
        </w:tc>
        <w:tc>
          <w:tcPr>
            <w:tcW w:w="2402" w:type="dxa"/>
          </w:tcPr>
          <w:p w14:paraId="7104C599" w14:textId="77777777" w:rsidR="008C05E4" w:rsidRDefault="008C05E4" w:rsidP="005C0336">
            <w:pPr>
              <w:pStyle w:val="Compact"/>
              <w:jc w:val="right"/>
            </w:pPr>
            <w:r>
              <w:t>1.128</w:t>
            </w:r>
          </w:p>
        </w:tc>
      </w:tr>
      <w:tr w:rsidR="008C05E4" w14:paraId="2E4EC0B7" w14:textId="77777777" w:rsidTr="008C05E4">
        <w:tc>
          <w:tcPr>
            <w:tcW w:w="1098" w:type="dxa"/>
          </w:tcPr>
          <w:p w14:paraId="1AE3EF89" w14:textId="77777777" w:rsidR="008C05E4" w:rsidRDefault="008C05E4" w:rsidP="005C0336">
            <w:pPr>
              <w:pStyle w:val="Compact"/>
              <w:jc w:val="right"/>
            </w:pPr>
            <w:r>
              <w:t>112410</w:t>
            </w:r>
          </w:p>
        </w:tc>
        <w:tc>
          <w:tcPr>
            <w:tcW w:w="4860" w:type="dxa"/>
          </w:tcPr>
          <w:p w14:paraId="35690D32" w14:textId="77777777" w:rsidR="008C05E4" w:rsidRDefault="008C05E4" w:rsidP="005C0336">
            <w:pPr>
              <w:pStyle w:val="Compact"/>
            </w:pPr>
            <w:r>
              <w:t>Sheep Farming</w:t>
            </w:r>
          </w:p>
        </w:tc>
        <w:tc>
          <w:tcPr>
            <w:tcW w:w="1300" w:type="dxa"/>
          </w:tcPr>
          <w:p w14:paraId="1A2C1A5F" w14:textId="77777777" w:rsidR="008C05E4" w:rsidRDefault="008C05E4" w:rsidP="005C0336">
            <w:pPr>
              <w:pStyle w:val="Compact"/>
              <w:jc w:val="right"/>
            </w:pPr>
            <w:r>
              <w:t>1.077</w:t>
            </w:r>
          </w:p>
        </w:tc>
        <w:tc>
          <w:tcPr>
            <w:tcW w:w="2288" w:type="dxa"/>
          </w:tcPr>
          <w:p w14:paraId="28FC74DF" w14:textId="77777777" w:rsidR="008C05E4" w:rsidRDefault="008C05E4" w:rsidP="005C0336">
            <w:pPr>
              <w:pStyle w:val="Compact"/>
              <w:jc w:val="right"/>
            </w:pPr>
            <w:r>
              <w:t>0.051</w:t>
            </w:r>
          </w:p>
        </w:tc>
        <w:tc>
          <w:tcPr>
            <w:tcW w:w="2402" w:type="dxa"/>
          </w:tcPr>
          <w:p w14:paraId="781C57FD" w14:textId="77777777" w:rsidR="008C05E4" w:rsidRDefault="008C05E4" w:rsidP="005C0336">
            <w:pPr>
              <w:pStyle w:val="Compact"/>
              <w:jc w:val="right"/>
            </w:pPr>
            <w:r>
              <w:t>1.128</w:t>
            </w:r>
          </w:p>
        </w:tc>
      </w:tr>
    </w:tbl>
    <w:p w14:paraId="398F22E2" w14:textId="77777777" w:rsidR="008C05E4" w:rsidRDefault="008C05E4" w:rsidP="008C05E4">
      <w:pPr>
        <w:pStyle w:val="TableCaption"/>
      </w:pPr>
    </w:p>
    <w:p w14:paraId="7675D70E" w14:textId="433A0667" w:rsidR="008C05E4" w:rsidRDefault="008C05E4" w:rsidP="008C05E4">
      <w:pPr>
        <w:pStyle w:val="TableCaption"/>
      </w:pPr>
      <w:r>
        <w:t xml:space="preserve">Table 3. Summary Statistics of Relative Change from v1.2 to v1.3 by GHG for Supply Chain Emission Factors without Margins. </w:t>
      </w:r>
    </w:p>
    <w:tbl>
      <w:tblPr>
        <w:tblStyle w:val="Table"/>
        <w:tblW w:w="0" w:type="auto"/>
        <w:tblLook w:val="0020" w:firstRow="1" w:lastRow="0" w:firstColumn="0" w:lastColumn="0" w:noHBand="0" w:noVBand="0"/>
      </w:tblPr>
      <w:tblGrid>
        <w:gridCol w:w="1774"/>
        <w:gridCol w:w="744"/>
        <w:gridCol w:w="975"/>
        <w:gridCol w:w="1039"/>
        <w:gridCol w:w="820"/>
        <w:gridCol w:w="1031"/>
        <w:gridCol w:w="797"/>
      </w:tblGrid>
      <w:tr w:rsidR="008C05E4" w14:paraId="2D18989F" w14:textId="77777777" w:rsidTr="005C0336">
        <w:trPr>
          <w:cnfStyle w:val="100000000000" w:firstRow="1" w:lastRow="0" w:firstColumn="0" w:lastColumn="0" w:oddVBand="0" w:evenVBand="0" w:oddHBand="0" w:evenHBand="0" w:firstRowFirstColumn="0" w:firstRowLastColumn="0" w:lastRowFirstColumn="0" w:lastRowLastColumn="0"/>
          <w:tblHeader/>
        </w:trPr>
        <w:tc>
          <w:tcPr>
            <w:tcW w:w="0" w:type="auto"/>
          </w:tcPr>
          <w:p w14:paraId="21C81DA0" w14:textId="60C39120" w:rsidR="008C05E4" w:rsidRPr="008B1BD1" w:rsidRDefault="008B1BD1" w:rsidP="005C0336">
            <w:pPr>
              <w:pStyle w:val="Compact"/>
              <w:rPr>
                <w:b/>
                <w:bCs/>
              </w:rPr>
            </w:pPr>
            <w:r w:rsidRPr="008B1BD1">
              <w:rPr>
                <w:b/>
                <w:bCs/>
              </w:rPr>
              <w:t>GHG</w:t>
            </w:r>
          </w:p>
        </w:tc>
        <w:tc>
          <w:tcPr>
            <w:tcW w:w="0" w:type="auto"/>
          </w:tcPr>
          <w:p w14:paraId="152543CB" w14:textId="77777777" w:rsidR="008C05E4" w:rsidRPr="008B1BD1" w:rsidRDefault="008C05E4" w:rsidP="005C0336">
            <w:pPr>
              <w:pStyle w:val="Compact"/>
              <w:jc w:val="right"/>
              <w:rPr>
                <w:b/>
                <w:bCs/>
              </w:rPr>
            </w:pPr>
            <w:r w:rsidRPr="008B1BD1">
              <w:rPr>
                <w:b/>
                <w:bCs/>
              </w:rPr>
              <w:t>Min.</w:t>
            </w:r>
          </w:p>
        </w:tc>
        <w:tc>
          <w:tcPr>
            <w:tcW w:w="0" w:type="auto"/>
          </w:tcPr>
          <w:p w14:paraId="51A66CDB" w14:textId="77777777" w:rsidR="008C05E4" w:rsidRPr="008B1BD1" w:rsidRDefault="008C05E4" w:rsidP="005C0336">
            <w:pPr>
              <w:pStyle w:val="Compact"/>
              <w:jc w:val="right"/>
              <w:rPr>
                <w:b/>
                <w:bCs/>
              </w:rPr>
            </w:pPr>
            <w:r w:rsidRPr="008B1BD1">
              <w:rPr>
                <w:b/>
                <w:bCs/>
              </w:rPr>
              <w:t>1st Qu.</w:t>
            </w:r>
          </w:p>
        </w:tc>
        <w:tc>
          <w:tcPr>
            <w:tcW w:w="0" w:type="auto"/>
          </w:tcPr>
          <w:p w14:paraId="78AAEA8B" w14:textId="77777777" w:rsidR="008C05E4" w:rsidRPr="008B1BD1" w:rsidRDefault="008C05E4" w:rsidP="005C0336">
            <w:pPr>
              <w:pStyle w:val="Compact"/>
              <w:jc w:val="right"/>
              <w:rPr>
                <w:b/>
                <w:bCs/>
              </w:rPr>
            </w:pPr>
            <w:r w:rsidRPr="008B1BD1">
              <w:rPr>
                <w:b/>
                <w:bCs/>
              </w:rPr>
              <w:t>Median</w:t>
            </w:r>
          </w:p>
        </w:tc>
        <w:tc>
          <w:tcPr>
            <w:tcW w:w="0" w:type="auto"/>
          </w:tcPr>
          <w:p w14:paraId="4FF4C04B" w14:textId="77777777" w:rsidR="008C05E4" w:rsidRPr="008B1BD1" w:rsidRDefault="008C05E4" w:rsidP="005C0336">
            <w:pPr>
              <w:pStyle w:val="Compact"/>
              <w:jc w:val="right"/>
              <w:rPr>
                <w:b/>
                <w:bCs/>
              </w:rPr>
            </w:pPr>
            <w:r w:rsidRPr="008B1BD1">
              <w:rPr>
                <w:b/>
                <w:bCs/>
              </w:rPr>
              <w:t>Mean</w:t>
            </w:r>
          </w:p>
        </w:tc>
        <w:tc>
          <w:tcPr>
            <w:tcW w:w="0" w:type="auto"/>
          </w:tcPr>
          <w:p w14:paraId="7B81E95D" w14:textId="77777777" w:rsidR="008C05E4" w:rsidRPr="008B1BD1" w:rsidRDefault="008C05E4" w:rsidP="005C0336">
            <w:pPr>
              <w:pStyle w:val="Compact"/>
              <w:jc w:val="right"/>
              <w:rPr>
                <w:b/>
                <w:bCs/>
              </w:rPr>
            </w:pPr>
            <w:r w:rsidRPr="008B1BD1">
              <w:rPr>
                <w:b/>
                <w:bCs/>
              </w:rPr>
              <w:t>3rd Qu.</w:t>
            </w:r>
          </w:p>
        </w:tc>
        <w:tc>
          <w:tcPr>
            <w:tcW w:w="0" w:type="auto"/>
          </w:tcPr>
          <w:p w14:paraId="41E2991C" w14:textId="77777777" w:rsidR="008C05E4" w:rsidRPr="008B1BD1" w:rsidRDefault="008C05E4" w:rsidP="005C0336">
            <w:pPr>
              <w:pStyle w:val="Compact"/>
              <w:jc w:val="right"/>
              <w:rPr>
                <w:b/>
                <w:bCs/>
              </w:rPr>
            </w:pPr>
            <w:r w:rsidRPr="008B1BD1">
              <w:rPr>
                <w:b/>
                <w:bCs/>
              </w:rPr>
              <w:t>Max.</w:t>
            </w:r>
          </w:p>
        </w:tc>
      </w:tr>
      <w:tr w:rsidR="008C05E4" w14:paraId="40C905F4" w14:textId="77777777" w:rsidTr="005C0336">
        <w:tc>
          <w:tcPr>
            <w:tcW w:w="0" w:type="auto"/>
          </w:tcPr>
          <w:p w14:paraId="23A3D040" w14:textId="77777777" w:rsidR="008C05E4" w:rsidRDefault="008C05E4" w:rsidP="005C0336">
            <w:pPr>
              <w:pStyle w:val="Compact"/>
            </w:pPr>
            <w:r>
              <w:t>CO2e</w:t>
            </w:r>
          </w:p>
        </w:tc>
        <w:tc>
          <w:tcPr>
            <w:tcW w:w="0" w:type="auto"/>
          </w:tcPr>
          <w:p w14:paraId="5E78DB79" w14:textId="77777777" w:rsidR="008C05E4" w:rsidRDefault="008C05E4" w:rsidP="005C0336">
            <w:pPr>
              <w:pStyle w:val="Compact"/>
              <w:jc w:val="right"/>
            </w:pPr>
            <w:r>
              <w:t>-0.91</w:t>
            </w:r>
          </w:p>
        </w:tc>
        <w:tc>
          <w:tcPr>
            <w:tcW w:w="0" w:type="auto"/>
          </w:tcPr>
          <w:p w14:paraId="5D88A1F3" w14:textId="77777777" w:rsidR="008C05E4" w:rsidRDefault="008C05E4" w:rsidP="005C0336">
            <w:pPr>
              <w:pStyle w:val="Compact"/>
              <w:jc w:val="right"/>
            </w:pPr>
            <w:r>
              <w:t>-0.28</w:t>
            </w:r>
          </w:p>
        </w:tc>
        <w:tc>
          <w:tcPr>
            <w:tcW w:w="0" w:type="auto"/>
          </w:tcPr>
          <w:p w14:paraId="5DB9BDD1" w14:textId="77777777" w:rsidR="008C05E4" w:rsidRDefault="008C05E4" w:rsidP="005C0336">
            <w:pPr>
              <w:pStyle w:val="Compact"/>
              <w:jc w:val="right"/>
            </w:pPr>
            <w:r>
              <w:t>-0.16</w:t>
            </w:r>
          </w:p>
        </w:tc>
        <w:tc>
          <w:tcPr>
            <w:tcW w:w="0" w:type="auto"/>
          </w:tcPr>
          <w:p w14:paraId="39B3F343" w14:textId="77777777" w:rsidR="008C05E4" w:rsidRDefault="008C05E4" w:rsidP="005C0336">
            <w:pPr>
              <w:pStyle w:val="Compact"/>
              <w:jc w:val="right"/>
            </w:pPr>
            <w:r>
              <w:t>-0.13</w:t>
            </w:r>
          </w:p>
        </w:tc>
        <w:tc>
          <w:tcPr>
            <w:tcW w:w="0" w:type="auto"/>
          </w:tcPr>
          <w:p w14:paraId="4788203D" w14:textId="77777777" w:rsidR="008C05E4" w:rsidRDefault="008C05E4" w:rsidP="005C0336">
            <w:pPr>
              <w:pStyle w:val="Compact"/>
              <w:jc w:val="right"/>
            </w:pPr>
            <w:r>
              <w:t>-0.04</w:t>
            </w:r>
          </w:p>
        </w:tc>
        <w:tc>
          <w:tcPr>
            <w:tcW w:w="0" w:type="auto"/>
          </w:tcPr>
          <w:p w14:paraId="4C49A844" w14:textId="77777777" w:rsidR="008C05E4" w:rsidRDefault="008C05E4" w:rsidP="005C0336">
            <w:pPr>
              <w:pStyle w:val="Compact"/>
              <w:jc w:val="right"/>
            </w:pPr>
            <w:r>
              <w:t>5.25</w:t>
            </w:r>
          </w:p>
        </w:tc>
      </w:tr>
      <w:tr w:rsidR="008C05E4" w14:paraId="66E72AB7" w14:textId="77777777" w:rsidTr="005C0336">
        <w:tc>
          <w:tcPr>
            <w:tcW w:w="0" w:type="auto"/>
          </w:tcPr>
          <w:p w14:paraId="7AF645E4" w14:textId="77777777" w:rsidR="008C05E4" w:rsidRDefault="008C05E4" w:rsidP="005C0336">
            <w:pPr>
              <w:pStyle w:val="Compact"/>
            </w:pPr>
            <w:r>
              <w:t>Carbon dioxide</w:t>
            </w:r>
          </w:p>
        </w:tc>
        <w:tc>
          <w:tcPr>
            <w:tcW w:w="0" w:type="auto"/>
          </w:tcPr>
          <w:p w14:paraId="54E43D61" w14:textId="77777777" w:rsidR="008C05E4" w:rsidRDefault="008C05E4" w:rsidP="005C0336">
            <w:pPr>
              <w:pStyle w:val="Compact"/>
              <w:jc w:val="right"/>
            </w:pPr>
            <w:r>
              <w:t>-0.88</w:t>
            </w:r>
          </w:p>
        </w:tc>
        <w:tc>
          <w:tcPr>
            <w:tcW w:w="0" w:type="auto"/>
          </w:tcPr>
          <w:p w14:paraId="53138E53" w14:textId="77777777" w:rsidR="008C05E4" w:rsidRDefault="008C05E4" w:rsidP="005C0336">
            <w:pPr>
              <w:pStyle w:val="Compact"/>
              <w:jc w:val="right"/>
            </w:pPr>
            <w:r>
              <w:t>-0.31</w:t>
            </w:r>
          </w:p>
        </w:tc>
        <w:tc>
          <w:tcPr>
            <w:tcW w:w="0" w:type="auto"/>
          </w:tcPr>
          <w:p w14:paraId="3047E90F" w14:textId="77777777" w:rsidR="008C05E4" w:rsidRDefault="008C05E4" w:rsidP="005C0336">
            <w:pPr>
              <w:pStyle w:val="Compact"/>
              <w:jc w:val="right"/>
            </w:pPr>
            <w:r>
              <w:t>-0.17</w:t>
            </w:r>
          </w:p>
        </w:tc>
        <w:tc>
          <w:tcPr>
            <w:tcW w:w="0" w:type="auto"/>
          </w:tcPr>
          <w:p w14:paraId="51C4B54C" w14:textId="77777777" w:rsidR="008C05E4" w:rsidRDefault="008C05E4" w:rsidP="005C0336">
            <w:pPr>
              <w:pStyle w:val="Compact"/>
              <w:jc w:val="right"/>
            </w:pPr>
            <w:r>
              <w:t>-0.15</w:t>
            </w:r>
          </w:p>
        </w:tc>
        <w:tc>
          <w:tcPr>
            <w:tcW w:w="0" w:type="auto"/>
          </w:tcPr>
          <w:p w14:paraId="026BFE14" w14:textId="77777777" w:rsidR="008C05E4" w:rsidRDefault="008C05E4" w:rsidP="005C0336">
            <w:pPr>
              <w:pStyle w:val="Compact"/>
              <w:jc w:val="right"/>
            </w:pPr>
            <w:r>
              <w:t>-0.05</w:t>
            </w:r>
          </w:p>
        </w:tc>
        <w:tc>
          <w:tcPr>
            <w:tcW w:w="0" w:type="auto"/>
          </w:tcPr>
          <w:p w14:paraId="03FEF41A" w14:textId="77777777" w:rsidR="008C05E4" w:rsidRDefault="008C05E4" w:rsidP="005C0336">
            <w:pPr>
              <w:pStyle w:val="Compact"/>
              <w:jc w:val="right"/>
            </w:pPr>
            <w:r>
              <w:t>1.51</w:t>
            </w:r>
          </w:p>
        </w:tc>
      </w:tr>
      <w:tr w:rsidR="008C05E4" w14:paraId="7EFFB5B1" w14:textId="77777777" w:rsidTr="005C0336">
        <w:tc>
          <w:tcPr>
            <w:tcW w:w="0" w:type="auto"/>
          </w:tcPr>
          <w:p w14:paraId="4D5E91D3" w14:textId="77777777" w:rsidR="008C05E4" w:rsidRDefault="008C05E4" w:rsidP="005C0336">
            <w:pPr>
              <w:pStyle w:val="Compact"/>
            </w:pPr>
            <w:r>
              <w:t>Methane</w:t>
            </w:r>
          </w:p>
        </w:tc>
        <w:tc>
          <w:tcPr>
            <w:tcW w:w="0" w:type="auto"/>
          </w:tcPr>
          <w:p w14:paraId="400D3706" w14:textId="77777777" w:rsidR="008C05E4" w:rsidRDefault="008C05E4" w:rsidP="005C0336">
            <w:pPr>
              <w:pStyle w:val="Compact"/>
              <w:jc w:val="right"/>
            </w:pPr>
            <w:r>
              <w:t>-0.94</w:t>
            </w:r>
          </w:p>
        </w:tc>
        <w:tc>
          <w:tcPr>
            <w:tcW w:w="0" w:type="auto"/>
          </w:tcPr>
          <w:p w14:paraId="5604C62F" w14:textId="77777777" w:rsidR="008C05E4" w:rsidRDefault="008C05E4" w:rsidP="005C0336">
            <w:pPr>
              <w:pStyle w:val="Compact"/>
              <w:jc w:val="right"/>
            </w:pPr>
            <w:r>
              <w:t>-0.38</w:t>
            </w:r>
          </w:p>
        </w:tc>
        <w:tc>
          <w:tcPr>
            <w:tcW w:w="0" w:type="auto"/>
          </w:tcPr>
          <w:p w14:paraId="1033CD39" w14:textId="77777777" w:rsidR="008C05E4" w:rsidRDefault="008C05E4" w:rsidP="005C0336">
            <w:pPr>
              <w:pStyle w:val="Compact"/>
              <w:jc w:val="right"/>
            </w:pPr>
            <w:r>
              <w:t>-0.28</w:t>
            </w:r>
          </w:p>
        </w:tc>
        <w:tc>
          <w:tcPr>
            <w:tcW w:w="0" w:type="auto"/>
          </w:tcPr>
          <w:p w14:paraId="2E54B683" w14:textId="77777777" w:rsidR="008C05E4" w:rsidRDefault="008C05E4" w:rsidP="005C0336">
            <w:pPr>
              <w:pStyle w:val="Compact"/>
              <w:jc w:val="right"/>
            </w:pPr>
            <w:r>
              <w:t>-0.07</w:t>
            </w:r>
          </w:p>
        </w:tc>
        <w:tc>
          <w:tcPr>
            <w:tcW w:w="0" w:type="auto"/>
          </w:tcPr>
          <w:p w14:paraId="02EA78EA" w14:textId="77777777" w:rsidR="008C05E4" w:rsidRDefault="008C05E4" w:rsidP="005C0336">
            <w:pPr>
              <w:pStyle w:val="Compact"/>
              <w:jc w:val="right"/>
            </w:pPr>
            <w:r>
              <w:t>-0.14</w:t>
            </w:r>
          </w:p>
        </w:tc>
        <w:tc>
          <w:tcPr>
            <w:tcW w:w="0" w:type="auto"/>
          </w:tcPr>
          <w:p w14:paraId="782D5AC2" w14:textId="77777777" w:rsidR="008C05E4" w:rsidRDefault="008C05E4" w:rsidP="005C0336">
            <w:pPr>
              <w:pStyle w:val="Compact"/>
              <w:jc w:val="right"/>
            </w:pPr>
            <w:r>
              <w:t>49.50</w:t>
            </w:r>
          </w:p>
        </w:tc>
      </w:tr>
      <w:tr w:rsidR="008C05E4" w14:paraId="03A3DDD7" w14:textId="77777777" w:rsidTr="005C0336">
        <w:tc>
          <w:tcPr>
            <w:tcW w:w="0" w:type="auto"/>
          </w:tcPr>
          <w:p w14:paraId="32EA49C1" w14:textId="77777777" w:rsidR="008C05E4" w:rsidRDefault="008C05E4" w:rsidP="005C0336">
            <w:pPr>
              <w:pStyle w:val="Compact"/>
            </w:pPr>
            <w:r>
              <w:t>Nitrous oxide</w:t>
            </w:r>
          </w:p>
        </w:tc>
        <w:tc>
          <w:tcPr>
            <w:tcW w:w="0" w:type="auto"/>
          </w:tcPr>
          <w:p w14:paraId="611C2DBB" w14:textId="77777777" w:rsidR="008C05E4" w:rsidRDefault="008C05E4" w:rsidP="005C0336">
            <w:pPr>
              <w:pStyle w:val="Compact"/>
              <w:jc w:val="right"/>
            </w:pPr>
            <w:r>
              <w:t>-0.88</w:t>
            </w:r>
          </w:p>
        </w:tc>
        <w:tc>
          <w:tcPr>
            <w:tcW w:w="0" w:type="auto"/>
          </w:tcPr>
          <w:p w14:paraId="111336C1" w14:textId="77777777" w:rsidR="008C05E4" w:rsidRDefault="008C05E4" w:rsidP="005C0336">
            <w:pPr>
              <w:pStyle w:val="Compact"/>
              <w:jc w:val="right"/>
            </w:pPr>
            <w:r>
              <w:t>-0.24</w:t>
            </w:r>
          </w:p>
        </w:tc>
        <w:tc>
          <w:tcPr>
            <w:tcW w:w="0" w:type="auto"/>
          </w:tcPr>
          <w:p w14:paraId="29283918" w14:textId="77777777" w:rsidR="008C05E4" w:rsidRDefault="008C05E4" w:rsidP="005C0336">
            <w:pPr>
              <w:pStyle w:val="Compact"/>
              <w:jc w:val="right"/>
            </w:pPr>
            <w:r>
              <w:t>-0.08</w:t>
            </w:r>
          </w:p>
        </w:tc>
        <w:tc>
          <w:tcPr>
            <w:tcW w:w="0" w:type="auto"/>
          </w:tcPr>
          <w:p w14:paraId="0723234A" w14:textId="77777777" w:rsidR="008C05E4" w:rsidRDefault="008C05E4" w:rsidP="005C0336">
            <w:pPr>
              <w:pStyle w:val="Compact"/>
              <w:jc w:val="right"/>
            </w:pPr>
            <w:r>
              <w:t>-0.02</w:t>
            </w:r>
          </w:p>
        </w:tc>
        <w:tc>
          <w:tcPr>
            <w:tcW w:w="0" w:type="auto"/>
          </w:tcPr>
          <w:p w14:paraId="6A0D91FE" w14:textId="77777777" w:rsidR="008C05E4" w:rsidRDefault="008C05E4" w:rsidP="005C0336">
            <w:pPr>
              <w:pStyle w:val="Compact"/>
              <w:jc w:val="right"/>
            </w:pPr>
            <w:r>
              <w:t>0.13</w:t>
            </w:r>
          </w:p>
        </w:tc>
        <w:tc>
          <w:tcPr>
            <w:tcW w:w="0" w:type="auto"/>
          </w:tcPr>
          <w:p w14:paraId="25A69B63" w14:textId="77777777" w:rsidR="008C05E4" w:rsidRDefault="008C05E4" w:rsidP="005C0336">
            <w:pPr>
              <w:pStyle w:val="Compact"/>
              <w:jc w:val="right"/>
            </w:pPr>
            <w:r>
              <w:t>4.32</w:t>
            </w:r>
          </w:p>
        </w:tc>
      </w:tr>
    </w:tbl>
    <w:p w14:paraId="081D9634" w14:textId="6B149F21" w:rsidR="006A66D7" w:rsidRPr="008B1BD1" w:rsidRDefault="006A66D7" w:rsidP="006A66D7">
      <w:pPr>
        <w:pStyle w:val="BodyText"/>
        <w:rPr>
          <w:i/>
          <w:iCs/>
        </w:rPr>
      </w:pPr>
      <w:r>
        <w:t xml:space="preserve"> </w:t>
      </w:r>
      <w:r>
        <w:br w:type="page"/>
      </w:r>
      <w:r w:rsidRPr="008B1BD1">
        <w:rPr>
          <w:i/>
          <w:iCs/>
        </w:rPr>
        <w:lastRenderedPageBreak/>
        <w:t xml:space="preserve"> Table 4. Commodities with Greatest Relative Increase from v1.2 to v1.3 in SEF+MEF. </w:t>
      </w:r>
    </w:p>
    <w:tbl>
      <w:tblPr>
        <w:tblStyle w:val="Table"/>
        <w:tblW w:w="3672" w:type="pct"/>
        <w:tblLayout w:type="fixed"/>
        <w:tblLook w:val="0020" w:firstRow="1" w:lastRow="0" w:firstColumn="0" w:lastColumn="0" w:noHBand="0" w:noVBand="0"/>
      </w:tblPr>
      <w:tblGrid>
        <w:gridCol w:w="1154"/>
        <w:gridCol w:w="5432"/>
        <w:gridCol w:w="1080"/>
        <w:gridCol w:w="854"/>
        <w:gridCol w:w="1156"/>
      </w:tblGrid>
      <w:tr w:rsidR="006A66D7" w14:paraId="4BC0A09B" w14:textId="77777777" w:rsidTr="006A66D7">
        <w:trPr>
          <w:cnfStyle w:val="100000000000" w:firstRow="1" w:lastRow="0" w:firstColumn="0" w:lastColumn="0" w:oddVBand="0" w:evenVBand="0" w:oddHBand="0" w:evenHBand="0" w:firstRowFirstColumn="0" w:firstRowLastColumn="0" w:lastRowFirstColumn="0" w:lastRowLastColumn="0"/>
          <w:tblHeader/>
        </w:trPr>
        <w:tc>
          <w:tcPr>
            <w:tcW w:w="1154" w:type="dxa"/>
          </w:tcPr>
          <w:p w14:paraId="7217F552" w14:textId="77777777" w:rsidR="006A66D7" w:rsidRPr="001F00A0" w:rsidRDefault="006A66D7" w:rsidP="005C0336">
            <w:pPr>
              <w:pStyle w:val="Compact"/>
              <w:jc w:val="right"/>
              <w:rPr>
                <w:b/>
                <w:bCs/>
              </w:rPr>
            </w:pPr>
            <w:r w:rsidRPr="001F00A0">
              <w:rPr>
                <w:b/>
                <w:bCs/>
              </w:rPr>
              <w:t>2017 NAICS Code</w:t>
            </w:r>
          </w:p>
        </w:tc>
        <w:tc>
          <w:tcPr>
            <w:tcW w:w="5433" w:type="dxa"/>
          </w:tcPr>
          <w:p w14:paraId="1C2B3FFB" w14:textId="77777777" w:rsidR="006A66D7" w:rsidRPr="001F00A0" w:rsidRDefault="006A66D7" w:rsidP="005C0336">
            <w:pPr>
              <w:pStyle w:val="Compact"/>
              <w:rPr>
                <w:b/>
                <w:bCs/>
              </w:rPr>
            </w:pPr>
            <w:r w:rsidRPr="001F00A0">
              <w:rPr>
                <w:b/>
                <w:bCs/>
              </w:rPr>
              <w:t>2017 NAICS Title</w:t>
            </w:r>
          </w:p>
        </w:tc>
        <w:tc>
          <w:tcPr>
            <w:tcW w:w="1080" w:type="dxa"/>
          </w:tcPr>
          <w:p w14:paraId="424236F5" w14:textId="77777777" w:rsidR="006A66D7" w:rsidRPr="001F00A0" w:rsidRDefault="006A66D7" w:rsidP="005C0336">
            <w:pPr>
              <w:pStyle w:val="Compact"/>
              <w:jc w:val="right"/>
              <w:rPr>
                <w:b/>
                <w:bCs/>
              </w:rPr>
            </w:pPr>
            <w:r w:rsidRPr="001F00A0">
              <w:rPr>
                <w:b/>
                <w:bCs/>
              </w:rPr>
              <w:t>v1.2</w:t>
            </w:r>
          </w:p>
        </w:tc>
        <w:tc>
          <w:tcPr>
            <w:tcW w:w="854" w:type="dxa"/>
          </w:tcPr>
          <w:p w14:paraId="01432661" w14:textId="77777777" w:rsidR="006A66D7" w:rsidRPr="001F00A0" w:rsidRDefault="006A66D7" w:rsidP="005C0336">
            <w:pPr>
              <w:pStyle w:val="Compact"/>
              <w:jc w:val="right"/>
              <w:rPr>
                <w:b/>
                <w:bCs/>
              </w:rPr>
            </w:pPr>
            <w:r w:rsidRPr="001F00A0">
              <w:rPr>
                <w:b/>
                <w:bCs/>
              </w:rPr>
              <w:t>v1.3.0</w:t>
            </w:r>
          </w:p>
        </w:tc>
        <w:tc>
          <w:tcPr>
            <w:tcW w:w="1156" w:type="dxa"/>
          </w:tcPr>
          <w:p w14:paraId="082414C2" w14:textId="77777777" w:rsidR="006A66D7" w:rsidRPr="001F00A0" w:rsidRDefault="006A66D7" w:rsidP="005C0336">
            <w:pPr>
              <w:pStyle w:val="Compact"/>
              <w:jc w:val="right"/>
              <w:rPr>
                <w:b/>
                <w:bCs/>
              </w:rPr>
            </w:pPr>
            <w:r w:rsidRPr="001F00A0">
              <w:rPr>
                <w:b/>
                <w:bCs/>
              </w:rPr>
              <w:t>Relative Change</w:t>
            </w:r>
          </w:p>
        </w:tc>
      </w:tr>
      <w:tr w:rsidR="006A66D7" w14:paraId="76DF08FC" w14:textId="77777777" w:rsidTr="006A66D7">
        <w:tc>
          <w:tcPr>
            <w:tcW w:w="1154" w:type="dxa"/>
          </w:tcPr>
          <w:p w14:paraId="37DE3892" w14:textId="77777777" w:rsidR="006A66D7" w:rsidRDefault="006A66D7" w:rsidP="005C0336">
            <w:pPr>
              <w:pStyle w:val="Compact"/>
              <w:jc w:val="right"/>
            </w:pPr>
            <w:r>
              <w:t>562920</w:t>
            </w:r>
          </w:p>
        </w:tc>
        <w:tc>
          <w:tcPr>
            <w:tcW w:w="5433" w:type="dxa"/>
          </w:tcPr>
          <w:p w14:paraId="632CFFD8" w14:textId="77777777" w:rsidR="006A66D7" w:rsidRDefault="006A66D7" w:rsidP="005C0336">
            <w:pPr>
              <w:pStyle w:val="Compact"/>
            </w:pPr>
            <w:r>
              <w:t>Materials Recovery Facilities</w:t>
            </w:r>
          </w:p>
        </w:tc>
        <w:tc>
          <w:tcPr>
            <w:tcW w:w="1080" w:type="dxa"/>
          </w:tcPr>
          <w:p w14:paraId="505FF442" w14:textId="77777777" w:rsidR="006A66D7" w:rsidRDefault="006A66D7" w:rsidP="005C0336">
            <w:pPr>
              <w:pStyle w:val="Compact"/>
              <w:jc w:val="right"/>
            </w:pPr>
            <w:r>
              <w:t>0.158</w:t>
            </w:r>
          </w:p>
        </w:tc>
        <w:tc>
          <w:tcPr>
            <w:tcW w:w="854" w:type="dxa"/>
          </w:tcPr>
          <w:p w14:paraId="0C2A6C4F" w14:textId="77777777" w:rsidR="006A66D7" w:rsidRDefault="006A66D7" w:rsidP="005C0336">
            <w:pPr>
              <w:pStyle w:val="Compact"/>
              <w:jc w:val="right"/>
            </w:pPr>
            <w:r>
              <w:t>0.988</w:t>
            </w:r>
          </w:p>
        </w:tc>
        <w:tc>
          <w:tcPr>
            <w:tcW w:w="1156" w:type="dxa"/>
          </w:tcPr>
          <w:p w14:paraId="5289CE7E" w14:textId="77777777" w:rsidR="006A66D7" w:rsidRDefault="006A66D7" w:rsidP="005C0336">
            <w:pPr>
              <w:pStyle w:val="Compact"/>
              <w:jc w:val="right"/>
            </w:pPr>
            <w:r>
              <w:t>5.2532</w:t>
            </w:r>
          </w:p>
        </w:tc>
      </w:tr>
      <w:tr w:rsidR="006A66D7" w14:paraId="0B7E301F" w14:textId="77777777" w:rsidTr="006A66D7">
        <w:tc>
          <w:tcPr>
            <w:tcW w:w="1154" w:type="dxa"/>
          </w:tcPr>
          <w:p w14:paraId="65689665" w14:textId="77777777" w:rsidR="006A66D7" w:rsidRDefault="006A66D7" w:rsidP="005C0336">
            <w:pPr>
              <w:pStyle w:val="Compact"/>
              <w:jc w:val="right"/>
            </w:pPr>
            <w:r>
              <w:t>562910</w:t>
            </w:r>
          </w:p>
        </w:tc>
        <w:tc>
          <w:tcPr>
            <w:tcW w:w="5433" w:type="dxa"/>
          </w:tcPr>
          <w:p w14:paraId="785E7B6D" w14:textId="77777777" w:rsidR="006A66D7" w:rsidRDefault="006A66D7" w:rsidP="005C0336">
            <w:pPr>
              <w:pStyle w:val="Compact"/>
            </w:pPr>
            <w:r>
              <w:t>Remediation Services</w:t>
            </w:r>
          </w:p>
        </w:tc>
        <w:tc>
          <w:tcPr>
            <w:tcW w:w="1080" w:type="dxa"/>
          </w:tcPr>
          <w:p w14:paraId="5BB20386" w14:textId="77777777" w:rsidR="006A66D7" w:rsidRDefault="006A66D7" w:rsidP="005C0336">
            <w:pPr>
              <w:pStyle w:val="Compact"/>
              <w:jc w:val="right"/>
            </w:pPr>
            <w:r>
              <w:t>0.163</w:t>
            </w:r>
          </w:p>
        </w:tc>
        <w:tc>
          <w:tcPr>
            <w:tcW w:w="854" w:type="dxa"/>
          </w:tcPr>
          <w:p w14:paraId="573E207E" w14:textId="77777777" w:rsidR="006A66D7" w:rsidRDefault="006A66D7" w:rsidP="005C0336">
            <w:pPr>
              <w:pStyle w:val="Compact"/>
              <w:jc w:val="right"/>
            </w:pPr>
            <w:r>
              <w:t>0.988</w:t>
            </w:r>
          </w:p>
        </w:tc>
        <w:tc>
          <w:tcPr>
            <w:tcW w:w="1156" w:type="dxa"/>
          </w:tcPr>
          <w:p w14:paraId="0571626F" w14:textId="77777777" w:rsidR="006A66D7" w:rsidRDefault="006A66D7" w:rsidP="005C0336">
            <w:pPr>
              <w:pStyle w:val="Compact"/>
              <w:jc w:val="right"/>
            </w:pPr>
            <w:r>
              <w:t>5.0613</w:t>
            </w:r>
          </w:p>
        </w:tc>
      </w:tr>
      <w:tr w:rsidR="006A66D7" w14:paraId="01AE1D34" w14:textId="77777777" w:rsidTr="006A66D7">
        <w:tc>
          <w:tcPr>
            <w:tcW w:w="1154" w:type="dxa"/>
          </w:tcPr>
          <w:p w14:paraId="0308D375" w14:textId="77777777" w:rsidR="006A66D7" w:rsidRDefault="006A66D7" w:rsidP="005C0336">
            <w:pPr>
              <w:pStyle w:val="Compact"/>
              <w:jc w:val="right"/>
            </w:pPr>
            <w:r>
              <w:t>562111</w:t>
            </w:r>
          </w:p>
        </w:tc>
        <w:tc>
          <w:tcPr>
            <w:tcW w:w="5433" w:type="dxa"/>
          </w:tcPr>
          <w:p w14:paraId="04A4D9D8" w14:textId="77777777" w:rsidR="006A66D7" w:rsidRDefault="006A66D7" w:rsidP="005C0336">
            <w:pPr>
              <w:pStyle w:val="Compact"/>
            </w:pPr>
            <w:r>
              <w:t>Solid Waste Collection</w:t>
            </w:r>
          </w:p>
        </w:tc>
        <w:tc>
          <w:tcPr>
            <w:tcW w:w="1080" w:type="dxa"/>
          </w:tcPr>
          <w:p w14:paraId="4345D8A3" w14:textId="77777777" w:rsidR="006A66D7" w:rsidRDefault="006A66D7" w:rsidP="005C0336">
            <w:pPr>
              <w:pStyle w:val="Compact"/>
              <w:jc w:val="right"/>
            </w:pPr>
            <w:r>
              <w:t>0.197</w:t>
            </w:r>
          </w:p>
        </w:tc>
        <w:tc>
          <w:tcPr>
            <w:tcW w:w="854" w:type="dxa"/>
          </w:tcPr>
          <w:p w14:paraId="6994B347" w14:textId="77777777" w:rsidR="006A66D7" w:rsidRDefault="006A66D7" w:rsidP="005C0336">
            <w:pPr>
              <w:pStyle w:val="Compact"/>
              <w:jc w:val="right"/>
            </w:pPr>
            <w:r>
              <w:t>0.988</w:t>
            </w:r>
          </w:p>
        </w:tc>
        <w:tc>
          <w:tcPr>
            <w:tcW w:w="1156" w:type="dxa"/>
          </w:tcPr>
          <w:p w14:paraId="08AEA60E" w14:textId="77777777" w:rsidR="006A66D7" w:rsidRDefault="006A66D7" w:rsidP="005C0336">
            <w:pPr>
              <w:pStyle w:val="Compact"/>
              <w:jc w:val="right"/>
            </w:pPr>
            <w:r>
              <w:t>4.0152</w:t>
            </w:r>
          </w:p>
        </w:tc>
      </w:tr>
      <w:tr w:rsidR="006A66D7" w14:paraId="1759CF11" w14:textId="77777777" w:rsidTr="006A66D7">
        <w:tc>
          <w:tcPr>
            <w:tcW w:w="1154" w:type="dxa"/>
          </w:tcPr>
          <w:p w14:paraId="0FA2FB88" w14:textId="77777777" w:rsidR="006A66D7" w:rsidRDefault="006A66D7" w:rsidP="005C0336">
            <w:pPr>
              <w:pStyle w:val="Compact"/>
              <w:jc w:val="right"/>
            </w:pPr>
            <w:r>
              <w:t>711510</w:t>
            </w:r>
          </w:p>
        </w:tc>
        <w:tc>
          <w:tcPr>
            <w:tcW w:w="5433" w:type="dxa"/>
          </w:tcPr>
          <w:p w14:paraId="7A984741" w14:textId="77777777" w:rsidR="006A66D7" w:rsidRDefault="006A66D7" w:rsidP="005C0336">
            <w:pPr>
              <w:pStyle w:val="Compact"/>
            </w:pPr>
            <w:r>
              <w:t>Independent Artists, Writers, and Performers</w:t>
            </w:r>
          </w:p>
        </w:tc>
        <w:tc>
          <w:tcPr>
            <w:tcW w:w="1080" w:type="dxa"/>
          </w:tcPr>
          <w:p w14:paraId="3EF277F5" w14:textId="77777777" w:rsidR="006A66D7" w:rsidRDefault="006A66D7" w:rsidP="005C0336">
            <w:pPr>
              <w:pStyle w:val="Compact"/>
              <w:jc w:val="right"/>
            </w:pPr>
            <w:r>
              <w:t>0.013</w:t>
            </w:r>
          </w:p>
        </w:tc>
        <w:tc>
          <w:tcPr>
            <w:tcW w:w="854" w:type="dxa"/>
          </w:tcPr>
          <w:p w14:paraId="76F0C8D8" w14:textId="77777777" w:rsidR="006A66D7" w:rsidRDefault="006A66D7" w:rsidP="005C0336">
            <w:pPr>
              <w:pStyle w:val="Compact"/>
              <w:jc w:val="right"/>
            </w:pPr>
            <w:r>
              <w:t>0.033</w:t>
            </w:r>
          </w:p>
        </w:tc>
        <w:tc>
          <w:tcPr>
            <w:tcW w:w="1156" w:type="dxa"/>
          </w:tcPr>
          <w:p w14:paraId="0E55F451" w14:textId="77777777" w:rsidR="006A66D7" w:rsidRDefault="006A66D7" w:rsidP="005C0336">
            <w:pPr>
              <w:pStyle w:val="Compact"/>
              <w:jc w:val="right"/>
            </w:pPr>
            <w:r>
              <w:t>1.5385</w:t>
            </w:r>
          </w:p>
        </w:tc>
      </w:tr>
      <w:tr w:rsidR="006A66D7" w14:paraId="7656B065" w14:textId="77777777" w:rsidTr="006A66D7">
        <w:tc>
          <w:tcPr>
            <w:tcW w:w="1154" w:type="dxa"/>
          </w:tcPr>
          <w:p w14:paraId="6B69781E" w14:textId="77777777" w:rsidR="006A66D7" w:rsidRDefault="006A66D7" w:rsidP="005C0336">
            <w:pPr>
              <w:pStyle w:val="Compact"/>
              <w:jc w:val="right"/>
            </w:pPr>
            <w:r>
              <w:t>336415</w:t>
            </w:r>
          </w:p>
        </w:tc>
        <w:tc>
          <w:tcPr>
            <w:tcW w:w="5433" w:type="dxa"/>
          </w:tcPr>
          <w:p w14:paraId="483218E6" w14:textId="77777777" w:rsidR="006A66D7" w:rsidRDefault="006A66D7" w:rsidP="005C0336">
            <w:pPr>
              <w:pStyle w:val="Compact"/>
            </w:pPr>
            <w:r>
              <w:t>Guided Missile and Space Vehicle Propulsion Unit and Propulsion Unit Parts Manufacturing</w:t>
            </w:r>
          </w:p>
        </w:tc>
        <w:tc>
          <w:tcPr>
            <w:tcW w:w="1080" w:type="dxa"/>
          </w:tcPr>
          <w:p w14:paraId="44F20F17" w14:textId="77777777" w:rsidR="006A66D7" w:rsidRDefault="006A66D7" w:rsidP="005C0336">
            <w:pPr>
              <w:pStyle w:val="Compact"/>
              <w:jc w:val="right"/>
            </w:pPr>
            <w:r>
              <w:t>0.146</w:t>
            </w:r>
          </w:p>
        </w:tc>
        <w:tc>
          <w:tcPr>
            <w:tcW w:w="854" w:type="dxa"/>
          </w:tcPr>
          <w:p w14:paraId="1539AF8A" w14:textId="77777777" w:rsidR="006A66D7" w:rsidRDefault="006A66D7" w:rsidP="005C0336">
            <w:pPr>
              <w:pStyle w:val="Compact"/>
              <w:jc w:val="right"/>
            </w:pPr>
            <w:r>
              <w:t>0.294</w:t>
            </w:r>
          </w:p>
        </w:tc>
        <w:tc>
          <w:tcPr>
            <w:tcW w:w="1156" w:type="dxa"/>
          </w:tcPr>
          <w:p w14:paraId="610FEDDD" w14:textId="77777777" w:rsidR="006A66D7" w:rsidRDefault="006A66D7" w:rsidP="005C0336">
            <w:pPr>
              <w:pStyle w:val="Compact"/>
              <w:jc w:val="right"/>
            </w:pPr>
            <w:r>
              <w:t>1.0137</w:t>
            </w:r>
          </w:p>
        </w:tc>
      </w:tr>
      <w:tr w:rsidR="006A66D7" w14:paraId="10B4EE68" w14:textId="77777777" w:rsidTr="006A66D7">
        <w:tc>
          <w:tcPr>
            <w:tcW w:w="1154" w:type="dxa"/>
          </w:tcPr>
          <w:p w14:paraId="76BA0ED8" w14:textId="77777777" w:rsidR="006A66D7" w:rsidRDefault="006A66D7" w:rsidP="005C0336">
            <w:pPr>
              <w:pStyle w:val="Compact"/>
              <w:jc w:val="right"/>
            </w:pPr>
            <w:r>
              <w:t>336419</w:t>
            </w:r>
          </w:p>
        </w:tc>
        <w:tc>
          <w:tcPr>
            <w:tcW w:w="5433" w:type="dxa"/>
          </w:tcPr>
          <w:p w14:paraId="5AD873EC" w14:textId="77777777" w:rsidR="006A66D7" w:rsidRDefault="006A66D7" w:rsidP="005C0336">
            <w:pPr>
              <w:pStyle w:val="Compact"/>
            </w:pPr>
            <w:r>
              <w:t>Other Guided Missile and Space Vehicle Parts and Auxiliary Equipment Manufacturing</w:t>
            </w:r>
          </w:p>
        </w:tc>
        <w:tc>
          <w:tcPr>
            <w:tcW w:w="1080" w:type="dxa"/>
          </w:tcPr>
          <w:p w14:paraId="3CE3FD86" w14:textId="77777777" w:rsidR="006A66D7" w:rsidRDefault="006A66D7" w:rsidP="005C0336">
            <w:pPr>
              <w:pStyle w:val="Compact"/>
              <w:jc w:val="right"/>
            </w:pPr>
            <w:r>
              <w:t>0.146</w:t>
            </w:r>
          </w:p>
        </w:tc>
        <w:tc>
          <w:tcPr>
            <w:tcW w:w="854" w:type="dxa"/>
          </w:tcPr>
          <w:p w14:paraId="1181E0E3" w14:textId="77777777" w:rsidR="006A66D7" w:rsidRDefault="006A66D7" w:rsidP="005C0336">
            <w:pPr>
              <w:pStyle w:val="Compact"/>
              <w:jc w:val="right"/>
            </w:pPr>
            <w:r>
              <w:t>0.294</w:t>
            </w:r>
          </w:p>
        </w:tc>
        <w:tc>
          <w:tcPr>
            <w:tcW w:w="1156" w:type="dxa"/>
          </w:tcPr>
          <w:p w14:paraId="3E9D2AD3" w14:textId="77777777" w:rsidR="006A66D7" w:rsidRDefault="006A66D7" w:rsidP="005C0336">
            <w:pPr>
              <w:pStyle w:val="Compact"/>
              <w:jc w:val="right"/>
            </w:pPr>
            <w:r>
              <w:t>1.0137</w:t>
            </w:r>
          </w:p>
        </w:tc>
      </w:tr>
      <w:tr w:rsidR="006A66D7" w14:paraId="7FC4FF80" w14:textId="77777777" w:rsidTr="006A66D7">
        <w:tc>
          <w:tcPr>
            <w:tcW w:w="1154" w:type="dxa"/>
          </w:tcPr>
          <w:p w14:paraId="082AD271" w14:textId="77777777" w:rsidR="006A66D7" w:rsidRDefault="006A66D7" w:rsidP="005C0336">
            <w:pPr>
              <w:pStyle w:val="Compact"/>
              <w:jc w:val="right"/>
            </w:pPr>
            <w:r>
              <w:t>236116</w:t>
            </w:r>
          </w:p>
        </w:tc>
        <w:tc>
          <w:tcPr>
            <w:tcW w:w="5433" w:type="dxa"/>
          </w:tcPr>
          <w:p w14:paraId="6DD7F78A" w14:textId="77777777" w:rsidR="006A66D7" w:rsidRDefault="006A66D7" w:rsidP="005C0336">
            <w:pPr>
              <w:pStyle w:val="Compact"/>
            </w:pPr>
            <w:r>
              <w:t>New Multifamily Housing Construction (except For-Sale Builders)</w:t>
            </w:r>
          </w:p>
        </w:tc>
        <w:tc>
          <w:tcPr>
            <w:tcW w:w="1080" w:type="dxa"/>
          </w:tcPr>
          <w:p w14:paraId="114055B5" w14:textId="77777777" w:rsidR="006A66D7" w:rsidRDefault="006A66D7" w:rsidP="005C0336">
            <w:pPr>
              <w:pStyle w:val="Compact"/>
              <w:jc w:val="right"/>
            </w:pPr>
            <w:r>
              <w:t>0.116</w:t>
            </w:r>
          </w:p>
        </w:tc>
        <w:tc>
          <w:tcPr>
            <w:tcW w:w="854" w:type="dxa"/>
          </w:tcPr>
          <w:p w14:paraId="6C24BBDF" w14:textId="77777777" w:rsidR="006A66D7" w:rsidRDefault="006A66D7" w:rsidP="005C0336">
            <w:pPr>
              <w:pStyle w:val="Compact"/>
              <w:jc w:val="right"/>
            </w:pPr>
            <w:r>
              <w:t>0.221</w:t>
            </w:r>
          </w:p>
        </w:tc>
        <w:tc>
          <w:tcPr>
            <w:tcW w:w="1156" w:type="dxa"/>
          </w:tcPr>
          <w:p w14:paraId="58483FEA" w14:textId="77777777" w:rsidR="006A66D7" w:rsidRDefault="006A66D7" w:rsidP="005C0336">
            <w:pPr>
              <w:pStyle w:val="Compact"/>
              <w:jc w:val="right"/>
            </w:pPr>
            <w:r>
              <w:t>0.9052</w:t>
            </w:r>
          </w:p>
        </w:tc>
      </w:tr>
      <w:tr w:rsidR="006A66D7" w14:paraId="6B7243F0" w14:textId="77777777" w:rsidTr="006A66D7">
        <w:tc>
          <w:tcPr>
            <w:tcW w:w="1154" w:type="dxa"/>
          </w:tcPr>
          <w:p w14:paraId="438ACC15" w14:textId="77777777" w:rsidR="006A66D7" w:rsidRDefault="006A66D7" w:rsidP="005C0336">
            <w:pPr>
              <w:pStyle w:val="Compact"/>
              <w:jc w:val="right"/>
            </w:pPr>
            <w:r>
              <w:t>425110</w:t>
            </w:r>
          </w:p>
        </w:tc>
        <w:tc>
          <w:tcPr>
            <w:tcW w:w="5433" w:type="dxa"/>
          </w:tcPr>
          <w:p w14:paraId="3EC421C3" w14:textId="77777777" w:rsidR="006A66D7" w:rsidRDefault="006A66D7" w:rsidP="005C0336">
            <w:pPr>
              <w:pStyle w:val="Compact"/>
            </w:pPr>
            <w:r>
              <w:t>Business to Business Electronic Markets</w:t>
            </w:r>
          </w:p>
        </w:tc>
        <w:tc>
          <w:tcPr>
            <w:tcW w:w="1080" w:type="dxa"/>
          </w:tcPr>
          <w:p w14:paraId="05501168" w14:textId="77777777" w:rsidR="006A66D7" w:rsidRDefault="006A66D7" w:rsidP="005C0336">
            <w:pPr>
              <w:pStyle w:val="Compact"/>
              <w:jc w:val="right"/>
            </w:pPr>
            <w:r>
              <w:t>0.051</w:t>
            </w:r>
          </w:p>
        </w:tc>
        <w:tc>
          <w:tcPr>
            <w:tcW w:w="854" w:type="dxa"/>
          </w:tcPr>
          <w:p w14:paraId="6BB874E8" w14:textId="77777777" w:rsidR="006A66D7" w:rsidRDefault="006A66D7" w:rsidP="005C0336">
            <w:pPr>
              <w:pStyle w:val="Compact"/>
              <w:jc w:val="right"/>
            </w:pPr>
            <w:r>
              <w:t>0.092</w:t>
            </w:r>
          </w:p>
        </w:tc>
        <w:tc>
          <w:tcPr>
            <w:tcW w:w="1156" w:type="dxa"/>
          </w:tcPr>
          <w:p w14:paraId="1E69D5FB" w14:textId="77777777" w:rsidR="006A66D7" w:rsidRDefault="006A66D7" w:rsidP="005C0336">
            <w:pPr>
              <w:pStyle w:val="Compact"/>
              <w:jc w:val="right"/>
            </w:pPr>
            <w:r>
              <w:t>0.8039</w:t>
            </w:r>
          </w:p>
        </w:tc>
      </w:tr>
      <w:tr w:rsidR="006A66D7" w14:paraId="24355AA6" w14:textId="77777777" w:rsidTr="006A66D7">
        <w:tc>
          <w:tcPr>
            <w:tcW w:w="1154" w:type="dxa"/>
          </w:tcPr>
          <w:p w14:paraId="19A533CB" w14:textId="77777777" w:rsidR="006A66D7" w:rsidRDefault="006A66D7" w:rsidP="005C0336">
            <w:pPr>
              <w:pStyle w:val="Compact"/>
              <w:jc w:val="right"/>
            </w:pPr>
            <w:r>
              <w:t>425120</w:t>
            </w:r>
          </w:p>
        </w:tc>
        <w:tc>
          <w:tcPr>
            <w:tcW w:w="5433" w:type="dxa"/>
          </w:tcPr>
          <w:p w14:paraId="71C0B1E8" w14:textId="77777777" w:rsidR="006A66D7" w:rsidRDefault="006A66D7" w:rsidP="005C0336">
            <w:pPr>
              <w:pStyle w:val="Compact"/>
            </w:pPr>
            <w:r>
              <w:t>Wholesale Trade Agents and Brokers</w:t>
            </w:r>
          </w:p>
        </w:tc>
        <w:tc>
          <w:tcPr>
            <w:tcW w:w="1080" w:type="dxa"/>
          </w:tcPr>
          <w:p w14:paraId="08761635" w14:textId="77777777" w:rsidR="006A66D7" w:rsidRDefault="006A66D7" w:rsidP="005C0336">
            <w:pPr>
              <w:pStyle w:val="Compact"/>
              <w:jc w:val="right"/>
            </w:pPr>
            <w:r>
              <w:t>0.051</w:t>
            </w:r>
          </w:p>
        </w:tc>
        <w:tc>
          <w:tcPr>
            <w:tcW w:w="854" w:type="dxa"/>
          </w:tcPr>
          <w:p w14:paraId="353EABB9" w14:textId="77777777" w:rsidR="006A66D7" w:rsidRDefault="006A66D7" w:rsidP="005C0336">
            <w:pPr>
              <w:pStyle w:val="Compact"/>
              <w:jc w:val="right"/>
            </w:pPr>
            <w:r>
              <w:t>0.092</w:t>
            </w:r>
          </w:p>
        </w:tc>
        <w:tc>
          <w:tcPr>
            <w:tcW w:w="1156" w:type="dxa"/>
          </w:tcPr>
          <w:p w14:paraId="404EA216" w14:textId="77777777" w:rsidR="006A66D7" w:rsidRDefault="006A66D7" w:rsidP="005C0336">
            <w:pPr>
              <w:pStyle w:val="Compact"/>
              <w:jc w:val="right"/>
            </w:pPr>
            <w:r>
              <w:t>0.8039</w:t>
            </w:r>
          </w:p>
        </w:tc>
      </w:tr>
      <w:tr w:rsidR="006A66D7" w14:paraId="06EECA83" w14:textId="77777777" w:rsidTr="006A66D7">
        <w:tc>
          <w:tcPr>
            <w:tcW w:w="1154" w:type="dxa"/>
          </w:tcPr>
          <w:p w14:paraId="2DE34CE6" w14:textId="77777777" w:rsidR="006A66D7" w:rsidRDefault="006A66D7" w:rsidP="005C0336">
            <w:pPr>
              <w:pStyle w:val="Compact"/>
              <w:jc w:val="right"/>
            </w:pPr>
            <w:r>
              <w:t>325414</w:t>
            </w:r>
          </w:p>
        </w:tc>
        <w:tc>
          <w:tcPr>
            <w:tcW w:w="5433" w:type="dxa"/>
          </w:tcPr>
          <w:p w14:paraId="0409EF0C" w14:textId="77777777" w:rsidR="006A66D7" w:rsidRDefault="006A66D7" w:rsidP="005C0336">
            <w:pPr>
              <w:pStyle w:val="Compact"/>
            </w:pPr>
            <w:r>
              <w:t>Biological Product (except Diagnostic) Manufacturing</w:t>
            </w:r>
          </w:p>
        </w:tc>
        <w:tc>
          <w:tcPr>
            <w:tcW w:w="1080" w:type="dxa"/>
          </w:tcPr>
          <w:p w14:paraId="0C244A86" w14:textId="77777777" w:rsidR="006A66D7" w:rsidRDefault="006A66D7" w:rsidP="005C0336">
            <w:pPr>
              <w:pStyle w:val="Compact"/>
              <w:jc w:val="right"/>
            </w:pPr>
            <w:r>
              <w:t>0.085</w:t>
            </w:r>
          </w:p>
        </w:tc>
        <w:tc>
          <w:tcPr>
            <w:tcW w:w="854" w:type="dxa"/>
          </w:tcPr>
          <w:p w14:paraId="674B9BC4" w14:textId="77777777" w:rsidR="006A66D7" w:rsidRDefault="006A66D7" w:rsidP="005C0336">
            <w:pPr>
              <w:pStyle w:val="Compact"/>
              <w:jc w:val="right"/>
            </w:pPr>
            <w:r>
              <w:t>0.150</w:t>
            </w:r>
          </w:p>
        </w:tc>
        <w:tc>
          <w:tcPr>
            <w:tcW w:w="1156" w:type="dxa"/>
          </w:tcPr>
          <w:p w14:paraId="5AA3AB08" w14:textId="77777777" w:rsidR="006A66D7" w:rsidRDefault="006A66D7" w:rsidP="005C0336">
            <w:pPr>
              <w:pStyle w:val="Compact"/>
              <w:jc w:val="right"/>
            </w:pPr>
            <w:r>
              <w:t>0.7647</w:t>
            </w:r>
          </w:p>
        </w:tc>
      </w:tr>
      <w:tr w:rsidR="006A66D7" w14:paraId="421B68C2" w14:textId="77777777" w:rsidTr="006A66D7">
        <w:tc>
          <w:tcPr>
            <w:tcW w:w="1154" w:type="dxa"/>
          </w:tcPr>
          <w:p w14:paraId="11DBAE01" w14:textId="77777777" w:rsidR="006A66D7" w:rsidRDefault="006A66D7" w:rsidP="005C0336">
            <w:pPr>
              <w:pStyle w:val="Compact"/>
              <w:jc w:val="right"/>
            </w:pPr>
            <w:r>
              <w:t>531110</w:t>
            </w:r>
          </w:p>
        </w:tc>
        <w:tc>
          <w:tcPr>
            <w:tcW w:w="5433" w:type="dxa"/>
          </w:tcPr>
          <w:p w14:paraId="33AF087F" w14:textId="77777777" w:rsidR="006A66D7" w:rsidRDefault="006A66D7" w:rsidP="005C0336">
            <w:pPr>
              <w:pStyle w:val="Compact"/>
            </w:pPr>
            <w:r>
              <w:t>Lessors of Residential Buildings and Dwellings</w:t>
            </w:r>
          </w:p>
        </w:tc>
        <w:tc>
          <w:tcPr>
            <w:tcW w:w="1080" w:type="dxa"/>
          </w:tcPr>
          <w:p w14:paraId="5CE5C973" w14:textId="77777777" w:rsidR="006A66D7" w:rsidRDefault="006A66D7" w:rsidP="005C0336">
            <w:pPr>
              <w:pStyle w:val="Compact"/>
              <w:jc w:val="right"/>
            </w:pPr>
            <w:r>
              <w:t>0.019</w:t>
            </w:r>
          </w:p>
        </w:tc>
        <w:tc>
          <w:tcPr>
            <w:tcW w:w="854" w:type="dxa"/>
          </w:tcPr>
          <w:p w14:paraId="766E2E65" w14:textId="77777777" w:rsidR="006A66D7" w:rsidRDefault="006A66D7" w:rsidP="005C0336">
            <w:pPr>
              <w:pStyle w:val="Compact"/>
              <w:jc w:val="right"/>
            </w:pPr>
            <w:r>
              <w:t>0.033</w:t>
            </w:r>
          </w:p>
        </w:tc>
        <w:tc>
          <w:tcPr>
            <w:tcW w:w="1156" w:type="dxa"/>
          </w:tcPr>
          <w:p w14:paraId="7BF6CEED" w14:textId="77777777" w:rsidR="006A66D7" w:rsidRDefault="006A66D7" w:rsidP="005C0336">
            <w:pPr>
              <w:pStyle w:val="Compact"/>
              <w:jc w:val="right"/>
            </w:pPr>
            <w:r>
              <w:t>0.7368</w:t>
            </w:r>
          </w:p>
        </w:tc>
      </w:tr>
      <w:tr w:rsidR="006A66D7" w14:paraId="15B3B21C" w14:textId="77777777" w:rsidTr="006A66D7">
        <w:tc>
          <w:tcPr>
            <w:tcW w:w="1154" w:type="dxa"/>
          </w:tcPr>
          <w:p w14:paraId="308EAAE0" w14:textId="77777777" w:rsidR="006A66D7" w:rsidRDefault="006A66D7" w:rsidP="005C0336">
            <w:pPr>
              <w:pStyle w:val="Compact"/>
              <w:jc w:val="right"/>
            </w:pPr>
            <w:r>
              <w:t>524113</w:t>
            </w:r>
          </w:p>
        </w:tc>
        <w:tc>
          <w:tcPr>
            <w:tcW w:w="5433" w:type="dxa"/>
          </w:tcPr>
          <w:p w14:paraId="6C3E2964" w14:textId="77777777" w:rsidR="006A66D7" w:rsidRDefault="006A66D7" w:rsidP="005C0336">
            <w:pPr>
              <w:pStyle w:val="Compact"/>
            </w:pPr>
            <w:r>
              <w:t>Direct Life Insurance Carriers</w:t>
            </w:r>
          </w:p>
        </w:tc>
        <w:tc>
          <w:tcPr>
            <w:tcW w:w="1080" w:type="dxa"/>
          </w:tcPr>
          <w:p w14:paraId="27C6CF40" w14:textId="77777777" w:rsidR="006A66D7" w:rsidRDefault="006A66D7" w:rsidP="005C0336">
            <w:pPr>
              <w:pStyle w:val="Compact"/>
              <w:jc w:val="right"/>
            </w:pPr>
            <w:r>
              <w:t>0.030</w:t>
            </w:r>
          </w:p>
        </w:tc>
        <w:tc>
          <w:tcPr>
            <w:tcW w:w="854" w:type="dxa"/>
          </w:tcPr>
          <w:p w14:paraId="11098FB6" w14:textId="77777777" w:rsidR="006A66D7" w:rsidRDefault="006A66D7" w:rsidP="005C0336">
            <w:pPr>
              <w:pStyle w:val="Compact"/>
              <w:jc w:val="right"/>
            </w:pPr>
            <w:r>
              <w:t>0.051</w:t>
            </w:r>
          </w:p>
        </w:tc>
        <w:tc>
          <w:tcPr>
            <w:tcW w:w="1156" w:type="dxa"/>
          </w:tcPr>
          <w:p w14:paraId="36DAFB34" w14:textId="77777777" w:rsidR="006A66D7" w:rsidRDefault="006A66D7" w:rsidP="005C0336">
            <w:pPr>
              <w:pStyle w:val="Compact"/>
              <w:jc w:val="right"/>
            </w:pPr>
            <w:r>
              <w:t>0.7000</w:t>
            </w:r>
          </w:p>
        </w:tc>
      </w:tr>
      <w:tr w:rsidR="006A66D7" w14:paraId="4C5A7E30" w14:textId="77777777" w:rsidTr="006A66D7">
        <w:tc>
          <w:tcPr>
            <w:tcW w:w="1154" w:type="dxa"/>
          </w:tcPr>
          <w:p w14:paraId="29C4ABBF" w14:textId="77777777" w:rsidR="006A66D7" w:rsidRDefault="006A66D7" w:rsidP="005C0336">
            <w:pPr>
              <w:pStyle w:val="Compact"/>
              <w:jc w:val="right"/>
            </w:pPr>
            <w:r>
              <w:t>562119</w:t>
            </w:r>
          </w:p>
        </w:tc>
        <w:tc>
          <w:tcPr>
            <w:tcW w:w="5433" w:type="dxa"/>
          </w:tcPr>
          <w:p w14:paraId="78FD947A" w14:textId="77777777" w:rsidR="006A66D7" w:rsidRDefault="006A66D7" w:rsidP="005C0336">
            <w:pPr>
              <w:pStyle w:val="Compact"/>
            </w:pPr>
            <w:r>
              <w:t>Other Waste Collection</w:t>
            </w:r>
          </w:p>
        </w:tc>
        <w:tc>
          <w:tcPr>
            <w:tcW w:w="1080" w:type="dxa"/>
          </w:tcPr>
          <w:p w14:paraId="33360136" w14:textId="77777777" w:rsidR="006A66D7" w:rsidRDefault="006A66D7" w:rsidP="005C0336">
            <w:pPr>
              <w:pStyle w:val="Compact"/>
              <w:jc w:val="right"/>
            </w:pPr>
            <w:r>
              <w:t>0.632</w:t>
            </w:r>
          </w:p>
        </w:tc>
        <w:tc>
          <w:tcPr>
            <w:tcW w:w="854" w:type="dxa"/>
          </w:tcPr>
          <w:p w14:paraId="39D935E1" w14:textId="77777777" w:rsidR="006A66D7" w:rsidRDefault="006A66D7" w:rsidP="005C0336">
            <w:pPr>
              <w:pStyle w:val="Compact"/>
              <w:jc w:val="right"/>
            </w:pPr>
            <w:r>
              <w:t>0.988</w:t>
            </w:r>
          </w:p>
        </w:tc>
        <w:tc>
          <w:tcPr>
            <w:tcW w:w="1156" w:type="dxa"/>
          </w:tcPr>
          <w:p w14:paraId="5CF4DA98" w14:textId="77777777" w:rsidR="006A66D7" w:rsidRDefault="006A66D7" w:rsidP="005C0336">
            <w:pPr>
              <w:pStyle w:val="Compact"/>
              <w:jc w:val="right"/>
            </w:pPr>
            <w:r>
              <w:t>0.5633</w:t>
            </w:r>
          </w:p>
        </w:tc>
      </w:tr>
      <w:tr w:rsidR="006A66D7" w14:paraId="04250BE5" w14:textId="77777777" w:rsidTr="006A66D7">
        <w:tc>
          <w:tcPr>
            <w:tcW w:w="1154" w:type="dxa"/>
          </w:tcPr>
          <w:p w14:paraId="46A7CA02" w14:textId="77777777" w:rsidR="006A66D7" w:rsidRDefault="006A66D7" w:rsidP="005C0336">
            <w:pPr>
              <w:pStyle w:val="Compact"/>
              <w:jc w:val="right"/>
            </w:pPr>
            <w:r>
              <w:t>562219</w:t>
            </w:r>
          </w:p>
        </w:tc>
        <w:tc>
          <w:tcPr>
            <w:tcW w:w="5433" w:type="dxa"/>
          </w:tcPr>
          <w:p w14:paraId="2DFD8F03" w14:textId="77777777" w:rsidR="006A66D7" w:rsidRDefault="006A66D7" w:rsidP="005C0336">
            <w:pPr>
              <w:pStyle w:val="Compact"/>
            </w:pPr>
            <w:r>
              <w:t>Other Nonhazardous Waste Treatment and Disposal</w:t>
            </w:r>
          </w:p>
        </w:tc>
        <w:tc>
          <w:tcPr>
            <w:tcW w:w="1080" w:type="dxa"/>
          </w:tcPr>
          <w:p w14:paraId="73642939" w14:textId="77777777" w:rsidR="006A66D7" w:rsidRDefault="006A66D7" w:rsidP="005C0336">
            <w:pPr>
              <w:pStyle w:val="Compact"/>
              <w:jc w:val="right"/>
            </w:pPr>
            <w:r>
              <w:t>0.632</w:t>
            </w:r>
          </w:p>
        </w:tc>
        <w:tc>
          <w:tcPr>
            <w:tcW w:w="854" w:type="dxa"/>
          </w:tcPr>
          <w:p w14:paraId="648E6651" w14:textId="77777777" w:rsidR="006A66D7" w:rsidRDefault="006A66D7" w:rsidP="005C0336">
            <w:pPr>
              <w:pStyle w:val="Compact"/>
              <w:jc w:val="right"/>
            </w:pPr>
            <w:r>
              <w:t>0.988</w:t>
            </w:r>
          </w:p>
        </w:tc>
        <w:tc>
          <w:tcPr>
            <w:tcW w:w="1156" w:type="dxa"/>
          </w:tcPr>
          <w:p w14:paraId="45F81FF2" w14:textId="77777777" w:rsidR="006A66D7" w:rsidRDefault="006A66D7" w:rsidP="005C0336">
            <w:pPr>
              <w:pStyle w:val="Compact"/>
              <w:jc w:val="right"/>
            </w:pPr>
            <w:r>
              <w:t>0.5633</w:t>
            </w:r>
          </w:p>
        </w:tc>
      </w:tr>
      <w:tr w:rsidR="006A66D7" w14:paraId="109EEBC0" w14:textId="77777777" w:rsidTr="006A66D7">
        <w:tc>
          <w:tcPr>
            <w:tcW w:w="1154" w:type="dxa"/>
          </w:tcPr>
          <w:p w14:paraId="1C460F0F" w14:textId="77777777" w:rsidR="006A66D7" w:rsidRDefault="006A66D7" w:rsidP="005C0336">
            <w:pPr>
              <w:pStyle w:val="Compact"/>
              <w:jc w:val="right"/>
            </w:pPr>
            <w:r>
              <w:t>562991</w:t>
            </w:r>
          </w:p>
        </w:tc>
        <w:tc>
          <w:tcPr>
            <w:tcW w:w="5433" w:type="dxa"/>
          </w:tcPr>
          <w:p w14:paraId="46BC7523" w14:textId="77777777" w:rsidR="006A66D7" w:rsidRDefault="006A66D7" w:rsidP="005C0336">
            <w:pPr>
              <w:pStyle w:val="Compact"/>
            </w:pPr>
            <w:r>
              <w:t>Septic Tank and Related Services</w:t>
            </w:r>
          </w:p>
        </w:tc>
        <w:tc>
          <w:tcPr>
            <w:tcW w:w="1080" w:type="dxa"/>
          </w:tcPr>
          <w:p w14:paraId="46E68C84" w14:textId="77777777" w:rsidR="006A66D7" w:rsidRDefault="006A66D7" w:rsidP="005C0336">
            <w:pPr>
              <w:pStyle w:val="Compact"/>
              <w:jc w:val="right"/>
            </w:pPr>
            <w:r>
              <w:t>0.632</w:t>
            </w:r>
          </w:p>
        </w:tc>
        <w:tc>
          <w:tcPr>
            <w:tcW w:w="854" w:type="dxa"/>
          </w:tcPr>
          <w:p w14:paraId="15A984C3" w14:textId="77777777" w:rsidR="006A66D7" w:rsidRDefault="006A66D7" w:rsidP="005C0336">
            <w:pPr>
              <w:pStyle w:val="Compact"/>
              <w:jc w:val="right"/>
            </w:pPr>
            <w:r>
              <w:t>0.988</w:t>
            </w:r>
          </w:p>
        </w:tc>
        <w:tc>
          <w:tcPr>
            <w:tcW w:w="1156" w:type="dxa"/>
          </w:tcPr>
          <w:p w14:paraId="2356FA65" w14:textId="77777777" w:rsidR="006A66D7" w:rsidRDefault="006A66D7" w:rsidP="005C0336">
            <w:pPr>
              <w:pStyle w:val="Compact"/>
              <w:jc w:val="right"/>
            </w:pPr>
            <w:r>
              <w:t>0.5633</w:t>
            </w:r>
          </w:p>
        </w:tc>
      </w:tr>
      <w:tr w:rsidR="006A66D7" w14:paraId="1B2DBC78" w14:textId="77777777" w:rsidTr="006A66D7">
        <w:tc>
          <w:tcPr>
            <w:tcW w:w="1154" w:type="dxa"/>
          </w:tcPr>
          <w:p w14:paraId="3BC6CC3D" w14:textId="77777777" w:rsidR="006A66D7" w:rsidRDefault="006A66D7" w:rsidP="005C0336">
            <w:pPr>
              <w:pStyle w:val="Compact"/>
              <w:jc w:val="right"/>
            </w:pPr>
            <w:r>
              <w:t>562998</w:t>
            </w:r>
          </w:p>
        </w:tc>
        <w:tc>
          <w:tcPr>
            <w:tcW w:w="5433" w:type="dxa"/>
          </w:tcPr>
          <w:p w14:paraId="54960F6F" w14:textId="77777777" w:rsidR="006A66D7" w:rsidRDefault="006A66D7" w:rsidP="005C0336">
            <w:pPr>
              <w:pStyle w:val="Compact"/>
            </w:pPr>
            <w:r>
              <w:t>All Other Miscellaneous Waste Management Services</w:t>
            </w:r>
          </w:p>
        </w:tc>
        <w:tc>
          <w:tcPr>
            <w:tcW w:w="1080" w:type="dxa"/>
          </w:tcPr>
          <w:p w14:paraId="1BDAF5E9" w14:textId="77777777" w:rsidR="006A66D7" w:rsidRDefault="006A66D7" w:rsidP="005C0336">
            <w:pPr>
              <w:pStyle w:val="Compact"/>
              <w:jc w:val="right"/>
            </w:pPr>
            <w:r>
              <w:t>0.632</w:t>
            </w:r>
          </w:p>
        </w:tc>
        <w:tc>
          <w:tcPr>
            <w:tcW w:w="854" w:type="dxa"/>
          </w:tcPr>
          <w:p w14:paraId="3A18A44A" w14:textId="77777777" w:rsidR="006A66D7" w:rsidRDefault="006A66D7" w:rsidP="005C0336">
            <w:pPr>
              <w:pStyle w:val="Compact"/>
              <w:jc w:val="right"/>
            </w:pPr>
            <w:r>
              <w:t>0.988</w:t>
            </w:r>
          </w:p>
        </w:tc>
        <w:tc>
          <w:tcPr>
            <w:tcW w:w="1156" w:type="dxa"/>
          </w:tcPr>
          <w:p w14:paraId="5E639102" w14:textId="77777777" w:rsidR="006A66D7" w:rsidRDefault="006A66D7" w:rsidP="005C0336">
            <w:pPr>
              <w:pStyle w:val="Compact"/>
              <w:jc w:val="right"/>
            </w:pPr>
            <w:r>
              <w:t>0.5633</w:t>
            </w:r>
          </w:p>
        </w:tc>
      </w:tr>
      <w:tr w:rsidR="006A66D7" w14:paraId="4AFE451F" w14:textId="77777777" w:rsidTr="006A66D7">
        <w:tc>
          <w:tcPr>
            <w:tcW w:w="1154" w:type="dxa"/>
          </w:tcPr>
          <w:p w14:paraId="44A41140" w14:textId="77777777" w:rsidR="006A66D7" w:rsidRDefault="006A66D7" w:rsidP="005C0336">
            <w:pPr>
              <w:pStyle w:val="Compact"/>
              <w:jc w:val="right"/>
            </w:pPr>
            <w:r>
              <w:t>561311</w:t>
            </w:r>
          </w:p>
        </w:tc>
        <w:tc>
          <w:tcPr>
            <w:tcW w:w="5433" w:type="dxa"/>
          </w:tcPr>
          <w:p w14:paraId="65368CEE" w14:textId="77777777" w:rsidR="006A66D7" w:rsidRDefault="006A66D7" w:rsidP="005C0336">
            <w:pPr>
              <w:pStyle w:val="Compact"/>
            </w:pPr>
            <w:r>
              <w:t>Employment Placement Agencies</w:t>
            </w:r>
          </w:p>
        </w:tc>
        <w:tc>
          <w:tcPr>
            <w:tcW w:w="1080" w:type="dxa"/>
          </w:tcPr>
          <w:p w14:paraId="78C967A4" w14:textId="77777777" w:rsidR="006A66D7" w:rsidRDefault="006A66D7" w:rsidP="005C0336">
            <w:pPr>
              <w:pStyle w:val="Compact"/>
              <w:jc w:val="right"/>
            </w:pPr>
            <w:r>
              <w:t>0.033</w:t>
            </w:r>
          </w:p>
        </w:tc>
        <w:tc>
          <w:tcPr>
            <w:tcW w:w="854" w:type="dxa"/>
          </w:tcPr>
          <w:p w14:paraId="6199EEF8" w14:textId="77777777" w:rsidR="006A66D7" w:rsidRDefault="006A66D7" w:rsidP="005C0336">
            <w:pPr>
              <w:pStyle w:val="Compact"/>
              <w:jc w:val="right"/>
            </w:pPr>
            <w:r>
              <w:t>0.051</w:t>
            </w:r>
          </w:p>
        </w:tc>
        <w:tc>
          <w:tcPr>
            <w:tcW w:w="1156" w:type="dxa"/>
          </w:tcPr>
          <w:p w14:paraId="69718B9D" w14:textId="77777777" w:rsidR="006A66D7" w:rsidRDefault="006A66D7" w:rsidP="005C0336">
            <w:pPr>
              <w:pStyle w:val="Compact"/>
              <w:jc w:val="right"/>
            </w:pPr>
            <w:r>
              <w:t>0.5455</w:t>
            </w:r>
          </w:p>
        </w:tc>
      </w:tr>
      <w:tr w:rsidR="006A66D7" w14:paraId="1E05A0AA" w14:textId="77777777" w:rsidTr="006A66D7">
        <w:tc>
          <w:tcPr>
            <w:tcW w:w="1154" w:type="dxa"/>
          </w:tcPr>
          <w:p w14:paraId="17AE8EE8" w14:textId="77777777" w:rsidR="006A66D7" w:rsidRDefault="006A66D7" w:rsidP="005C0336">
            <w:pPr>
              <w:pStyle w:val="Compact"/>
              <w:jc w:val="right"/>
            </w:pPr>
            <w:r>
              <w:lastRenderedPageBreak/>
              <w:t>561312</w:t>
            </w:r>
          </w:p>
        </w:tc>
        <w:tc>
          <w:tcPr>
            <w:tcW w:w="5433" w:type="dxa"/>
          </w:tcPr>
          <w:p w14:paraId="1EAD0930" w14:textId="77777777" w:rsidR="006A66D7" w:rsidRDefault="006A66D7" w:rsidP="005C0336">
            <w:pPr>
              <w:pStyle w:val="Compact"/>
            </w:pPr>
            <w:r>
              <w:t>Executive Search Services</w:t>
            </w:r>
          </w:p>
        </w:tc>
        <w:tc>
          <w:tcPr>
            <w:tcW w:w="1080" w:type="dxa"/>
          </w:tcPr>
          <w:p w14:paraId="6F464509" w14:textId="77777777" w:rsidR="006A66D7" w:rsidRDefault="006A66D7" w:rsidP="005C0336">
            <w:pPr>
              <w:pStyle w:val="Compact"/>
              <w:jc w:val="right"/>
            </w:pPr>
            <w:r>
              <w:t>0.033</w:t>
            </w:r>
          </w:p>
        </w:tc>
        <w:tc>
          <w:tcPr>
            <w:tcW w:w="854" w:type="dxa"/>
          </w:tcPr>
          <w:p w14:paraId="75D358DC" w14:textId="77777777" w:rsidR="006A66D7" w:rsidRDefault="006A66D7" w:rsidP="005C0336">
            <w:pPr>
              <w:pStyle w:val="Compact"/>
              <w:jc w:val="right"/>
            </w:pPr>
            <w:r>
              <w:t>0.051</w:t>
            </w:r>
          </w:p>
        </w:tc>
        <w:tc>
          <w:tcPr>
            <w:tcW w:w="1156" w:type="dxa"/>
          </w:tcPr>
          <w:p w14:paraId="4804F405" w14:textId="77777777" w:rsidR="006A66D7" w:rsidRDefault="006A66D7" w:rsidP="005C0336">
            <w:pPr>
              <w:pStyle w:val="Compact"/>
              <w:jc w:val="right"/>
            </w:pPr>
            <w:r>
              <w:t>0.5455</w:t>
            </w:r>
          </w:p>
        </w:tc>
      </w:tr>
      <w:tr w:rsidR="006A66D7" w14:paraId="741CEA68" w14:textId="77777777" w:rsidTr="006A66D7">
        <w:tc>
          <w:tcPr>
            <w:tcW w:w="1154" w:type="dxa"/>
          </w:tcPr>
          <w:p w14:paraId="58F153B7" w14:textId="77777777" w:rsidR="006A66D7" w:rsidRDefault="006A66D7" w:rsidP="005C0336">
            <w:pPr>
              <w:pStyle w:val="Compact"/>
              <w:jc w:val="right"/>
            </w:pPr>
            <w:r>
              <w:t>561320</w:t>
            </w:r>
          </w:p>
        </w:tc>
        <w:tc>
          <w:tcPr>
            <w:tcW w:w="5433" w:type="dxa"/>
          </w:tcPr>
          <w:p w14:paraId="3D256D48" w14:textId="77777777" w:rsidR="006A66D7" w:rsidRDefault="006A66D7" w:rsidP="005C0336">
            <w:pPr>
              <w:pStyle w:val="Compact"/>
            </w:pPr>
            <w:r>
              <w:t>Temporary Help Services</w:t>
            </w:r>
          </w:p>
        </w:tc>
        <w:tc>
          <w:tcPr>
            <w:tcW w:w="1080" w:type="dxa"/>
          </w:tcPr>
          <w:p w14:paraId="5FDE4490" w14:textId="77777777" w:rsidR="006A66D7" w:rsidRDefault="006A66D7" w:rsidP="005C0336">
            <w:pPr>
              <w:pStyle w:val="Compact"/>
              <w:jc w:val="right"/>
            </w:pPr>
            <w:r>
              <w:t>0.033</w:t>
            </w:r>
          </w:p>
        </w:tc>
        <w:tc>
          <w:tcPr>
            <w:tcW w:w="854" w:type="dxa"/>
          </w:tcPr>
          <w:p w14:paraId="6CF9273F" w14:textId="77777777" w:rsidR="006A66D7" w:rsidRDefault="006A66D7" w:rsidP="005C0336">
            <w:pPr>
              <w:pStyle w:val="Compact"/>
              <w:jc w:val="right"/>
            </w:pPr>
            <w:r>
              <w:t>0.051</w:t>
            </w:r>
          </w:p>
        </w:tc>
        <w:tc>
          <w:tcPr>
            <w:tcW w:w="1156" w:type="dxa"/>
          </w:tcPr>
          <w:p w14:paraId="2D637B0C" w14:textId="77777777" w:rsidR="006A66D7" w:rsidRDefault="006A66D7" w:rsidP="005C0336">
            <w:pPr>
              <w:pStyle w:val="Compact"/>
              <w:jc w:val="right"/>
            </w:pPr>
            <w:r>
              <w:t>0.5455</w:t>
            </w:r>
          </w:p>
        </w:tc>
      </w:tr>
      <w:tr w:rsidR="006A66D7" w14:paraId="09DAC20E" w14:textId="77777777" w:rsidTr="006A66D7">
        <w:tc>
          <w:tcPr>
            <w:tcW w:w="1154" w:type="dxa"/>
          </w:tcPr>
          <w:p w14:paraId="14599D3B" w14:textId="77777777" w:rsidR="006A66D7" w:rsidRDefault="006A66D7" w:rsidP="005C0336">
            <w:pPr>
              <w:pStyle w:val="Compact"/>
              <w:jc w:val="right"/>
            </w:pPr>
            <w:r>
              <w:t>561330</w:t>
            </w:r>
          </w:p>
        </w:tc>
        <w:tc>
          <w:tcPr>
            <w:tcW w:w="5433" w:type="dxa"/>
          </w:tcPr>
          <w:p w14:paraId="4CF1A73E" w14:textId="77777777" w:rsidR="006A66D7" w:rsidRDefault="006A66D7" w:rsidP="005C0336">
            <w:pPr>
              <w:pStyle w:val="Compact"/>
            </w:pPr>
            <w:r>
              <w:t>Professional Employer Organizations</w:t>
            </w:r>
          </w:p>
        </w:tc>
        <w:tc>
          <w:tcPr>
            <w:tcW w:w="1080" w:type="dxa"/>
          </w:tcPr>
          <w:p w14:paraId="6DA9C1F3" w14:textId="77777777" w:rsidR="006A66D7" w:rsidRDefault="006A66D7" w:rsidP="005C0336">
            <w:pPr>
              <w:pStyle w:val="Compact"/>
              <w:jc w:val="right"/>
            </w:pPr>
            <w:r>
              <w:t>0.033</w:t>
            </w:r>
          </w:p>
        </w:tc>
        <w:tc>
          <w:tcPr>
            <w:tcW w:w="854" w:type="dxa"/>
          </w:tcPr>
          <w:p w14:paraId="24826B9C" w14:textId="77777777" w:rsidR="006A66D7" w:rsidRDefault="006A66D7" w:rsidP="005C0336">
            <w:pPr>
              <w:pStyle w:val="Compact"/>
              <w:jc w:val="right"/>
            </w:pPr>
            <w:r>
              <w:t>0.051</w:t>
            </w:r>
          </w:p>
        </w:tc>
        <w:tc>
          <w:tcPr>
            <w:tcW w:w="1156" w:type="dxa"/>
          </w:tcPr>
          <w:p w14:paraId="3A66FB8A" w14:textId="77777777" w:rsidR="006A66D7" w:rsidRDefault="006A66D7" w:rsidP="005C0336">
            <w:pPr>
              <w:pStyle w:val="Compact"/>
              <w:jc w:val="right"/>
            </w:pPr>
            <w:r>
              <w:t>0.5455</w:t>
            </w:r>
          </w:p>
        </w:tc>
      </w:tr>
    </w:tbl>
    <w:p w14:paraId="2853540D" w14:textId="77777777" w:rsidR="006A66D7" w:rsidRDefault="006A66D7" w:rsidP="006A66D7"/>
    <w:p w14:paraId="1FCC3CB5" w14:textId="77777777" w:rsidR="006A66D7" w:rsidRDefault="006A66D7" w:rsidP="006A66D7">
      <w:pPr>
        <w:pStyle w:val="TableCaption"/>
      </w:pPr>
      <w:r>
        <w:t>Table 5. Commodities with Greatest Relative Decrease from v1.2 to v1.3.</w:t>
      </w:r>
    </w:p>
    <w:tbl>
      <w:tblPr>
        <w:tblStyle w:val="Table"/>
        <w:tblW w:w="3695" w:type="pct"/>
        <w:tblLayout w:type="fixed"/>
        <w:tblLook w:val="0020" w:firstRow="1" w:lastRow="0" w:firstColumn="0" w:lastColumn="0" w:noHBand="0" w:noVBand="0"/>
      </w:tblPr>
      <w:tblGrid>
        <w:gridCol w:w="1481"/>
        <w:gridCol w:w="4454"/>
        <w:gridCol w:w="1732"/>
        <w:gridCol w:w="900"/>
        <w:gridCol w:w="1170"/>
      </w:tblGrid>
      <w:tr w:rsidR="006A66D7" w14:paraId="0B690EA4" w14:textId="77777777" w:rsidTr="001F00A0">
        <w:trPr>
          <w:cnfStyle w:val="100000000000" w:firstRow="1" w:lastRow="0" w:firstColumn="0" w:lastColumn="0" w:oddVBand="0" w:evenVBand="0" w:oddHBand="0" w:evenHBand="0" w:firstRowFirstColumn="0" w:firstRowLastColumn="0" w:lastRowFirstColumn="0" w:lastRowLastColumn="0"/>
          <w:tblHeader/>
        </w:trPr>
        <w:tc>
          <w:tcPr>
            <w:tcW w:w="1482" w:type="dxa"/>
          </w:tcPr>
          <w:p w14:paraId="7941B841" w14:textId="77777777" w:rsidR="006A66D7" w:rsidRPr="001F00A0" w:rsidRDefault="006A66D7" w:rsidP="005C0336">
            <w:pPr>
              <w:pStyle w:val="Compact"/>
              <w:jc w:val="right"/>
              <w:rPr>
                <w:b/>
                <w:bCs/>
              </w:rPr>
            </w:pPr>
            <w:r w:rsidRPr="001F00A0">
              <w:rPr>
                <w:b/>
                <w:bCs/>
              </w:rPr>
              <w:t>2017 NAICS Code</w:t>
            </w:r>
          </w:p>
        </w:tc>
        <w:tc>
          <w:tcPr>
            <w:tcW w:w="4454" w:type="dxa"/>
          </w:tcPr>
          <w:p w14:paraId="694680E9" w14:textId="77777777" w:rsidR="006A66D7" w:rsidRPr="001F00A0" w:rsidRDefault="006A66D7" w:rsidP="005C0336">
            <w:pPr>
              <w:pStyle w:val="Compact"/>
              <w:rPr>
                <w:b/>
                <w:bCs/>
              </w:rPr>
            </w:pPr>
            <w:r w:rsidRPr="001F00A0">
              <w:rPr>
                <w:b/>
                <w:bCs/>
              </w:rPr>
              <w:t>2017 NAICS Title</w:t>
            </w:r>
          </w:p>
        </w:tc>
        <w:tc>
          <w:tcPr>
            <w:tcW w:w="1732" w:type="dxa"/>
          </w:tcPr>
          <w:p w14:paraId="50CC48AE" w14:textId="77777777" w:rsidR="006A66D7" w:rsidRPr="001F00A0" w:rsidRDefault="006A66D7" w:rsidP="005C0336">
            <w:pPr>
              <w:pStyle w:val="Compact"/>
              <w:jc w:val="right"/>
              <w:rPr>
                <w:b/>
                <w:bCs/>
              </w:rPr>
            </w:pPr>
            <w:r w:rsidRPr="001F00A0">
              <w:rPr>
                <w:b/>
                <w:bCs/>
              </w:rPr>
              <w:t>v1.2</w:t>
            </w:r>
          </w:p>
        </w:tc>
        <w:tc>
          <w:tcPr>
            <w:tcW w:w="900" w:type="dxa"/>
          </w:tcPr>
          <w:p w14:paraId="480D137A" w14:textId="77777777" w:rsidR="006A66D7" w:rsidRPr="001F00A0" w:rsidRDefault="006A66D7" w:rsidP="005C0336">
            <w:pPr>
              <w:pStyle w:val="Compact"/>
              <w:jc w:val="right"/>
              <w:rPr>
                <w:b/>
                <w:bCs/>
              </w:rPr>
            </w:pPr>
            <w:r w:rsidRPr="001F00A0">
              <w:rPr>
                <w:b/>
                <w:bCs/>
              </w:rPr>
              <w:t>v1.3.0</w:t>
            </w:r>
          </w:p>
        </w:tc>
        <w:tc>
          <w:tcPr>
            <w:tcW w:w="1170" w:type="dxa"/>
          </w:tcPr>
          <w:p w14:paraId="38B1081C" w14:textId="77777777" w:rsidR="006A66D7" w:rsidRPr="001F00A0" w:rsidRDefault="006A66D7" w:rsidP="005C0336">
            <w:pPr>
              <w:pStyle w:val="Compact"/>
              <w:jc w:val="right"/>
              <w:rPr>
                <w:b/>
                <w:bCs/>
              </w:rPr>
            </w:pPr>
            <w:r w:rsidRPr="001F00A0">
              <w:rPr>
                <w:b/>
                <w:bCs/>
              </w:rPr>
              <w:t>Relative Change</w:t>
            </w:r>
          </w:p>
        </w:tc>
      </w:tr>
      <w:tr w:rsidR="006A66D7" w14:paraId="7CED94A1" w14:textId="77777777" w:rsidTr="001F00A0">
        <w:tc>
          <w:tcPr>
            <w:tcW w:w="1482" w:type="dxa"/>
          </w:tcPr>
          <w:p w14:paraId="586360E0" w14:textId="77777777" w:rsidR="006A66D7" w:rsidRDefault="006A66D7" w:rsidP="005C0336">
            <w:pPr>
              <w:pStyle w:val="Compact"/>
              <w:jc w:val="right"/>
            </w:pPr>
            <w:r>
              <w:t>562212</w:t>
            </w:r>
          </w:p>
        </w:tc>
        <w:tc>
          <w:tcPr>
            <w:tcW w:w="4454" w:type="dxa"/>
          </w:tcPr>
          <w:p w14:paraId="77884D29" w14:textId="77777777" w:rsidR="006A66D7" w:rsidRDefault="006A66D7" w:rsidP="005C0336">
            <w:pPr>
              <w:pStyle w:val="Compact"/>
            </w:pPr>
            <w:r>
              <w:t>Solid Waste Landfill</w:t>
            </w:r>
          </w:p>
        </w:tc>
        <w:tc>
          <w:tcPr>
            <w:tcW w:w="1732" w:type="dxa"/>
          </w:tcPr>
          <w:p w14:paraId="43050B4A" w14:textId="77777777" w:rsidR="006A66D7" w:rsidRDefault="006A66D7" w:rsidP="005C0336">
            <w:pPr>
              <w:pStyle w:val="Compact"/>
              <w:jc w:val="right"/>
            </w:pPr>
            <w:r>
              <w:t>10.989</w:t>
            </w:r>
          </w:p>
        </w:tc>
        <w:tc>
          <w:tcPr>
            <w:tcW w:w="900" w:type="dxa"/>
          </w:tcPr>
          <w:p w14:paraId="338EF737" w14:textId="77777777" w:rsidR="006A66D7" w:rsidRDefault="006A66D7" w:rsidP="005C0336">
            <w:pPr>
              <w:pStyle w:val="Compact"/>
              <w:jc w:val="right"/>
            </w:pPr>
            <w:r>
              <w:t>0.988</w:t>
            </w:r>
          </w:p>
        </w:tc>
        <w:tc>
          <w:tcPr>
            <w:tcW w:w="1170" w:type="dxa"/>
          </w:tcPr>
          <w:p w14:paraId="0EAED0F3" w14:textId="77777777" w:rsidR="006A66D7" w:rsidRDefault="006A66D7" w:rsidP="005C0336">
            <w:pPr>
              <w:pStyle w:val="Compact"/>
              <w:jc w:val="right"/>
            </w:pPr>
            <w:r>
              <w:t>-0.9101</w:t>
            </w:r>
          </w:p>
        </w:tc>
      </w:tr>
      <w:tr w:rsidR="006A66D7" w14:paraId="6AFFE1A1" w14:textId="77777777" w:rsidTr="001F00A0">
        <w:tc>
          <w:tcPr>
            <w:tcW w:w="1482" w:type="dxa"/>
          </w:tcPr>
          <w:p w14:paraId="416BE1EB" w14:textId="77777777" w:rsidR="006A66D7" w:rsidRDefault="006A66D7" w:rsidP="005C0336">
            <w:pPr>
              <w:pStyle w:val="Compact"/>
              <w:jc w:val="right"/>
            </w:pPr>
            <w:r>
              <w:t>212230</w:t>
            </w:r>
          </w:p>
        </w:tc>
        <w:tc>
          <w:tcPr>
            <w:tcW w:w="4454" w:type="dxa"/>
          </w:tcPr>
          <w:p w14:paraId="62C6D0E8" w14:textId="77777777" w:rsidR="006A66D7" w:rsidRDefault="006A66D7" w:rsidP="005C0336">
            <w:pPr>
              <w:pStyle w:val="Compact"/>
            </w:pPr>
            <w:r>
              <w:t>Copper, Nickel, Lead, and Zinc Mining</w:t>
            </w:r>
          </w:p>
        </w:tc>
        <w:tc>
          <w:tcPr>
            <w:tcW w:w="1732" w:type="dxa"/>
          </w:tcPr>
          <w:p w14:paraId="00493AA3" w14:textId="77777777" w:rsidR="006A66D7" w:rsidRDefault="006A66D7" w:rsidP="005C0336">
            <w:pPr>
              <w:pStyle w:val="Compact"/>
              <w:jc w:val="right"/>
            </w:pPr>
            <w:r>
              <w:t>1.165</w:t>
            </w:r>
          </w:p>
        </w:tc>
        <w:tc>
          <w:tcPr>
            <w:tcW w:w="900" w:type="dxa"/>
          </w:tcPr>
          <w:p w14:paraId="145B3757" w14:textId="77777777" w:rsidR="006A66D7" w:rsidRDefault="006A66D7" w:rsidP="005C0336">
            <w:pPr>
              <w:pStyle w:val="Compact"/>
              <w:jc w:val="right"/>
            </w:pPr>
            <w:r>
              <w:t>0.324</w:t>
            </w:r>
          </w:p>
        </w:tc>
        <w:tc>
          <w:tcPr>
            <w:tcW w:w="1170" w:type="dxa"/>
          </w:tcPr>
          <w:p w14:paraId="0A66B9F6" w14:textId="77777777" w:rsidR="006A66D7" w:rsidRDefault="006A66D7" w:rsidP="005C0336">
            <w:pPr>
              <w:pStyle w:val="Compact"/>
              <w:jc w:val="right"/>
            </w:pPr>
            <w:r>
              <w:t>-0.7219</w:t>
            </w:r>
          </w:p>
        </w:tc>
      </w:tr>
      <w:tr w:rsidR="006A66D7" w14:paraId="325C2FCD" w14:textId="77777777" w:rsidTr="001F00A0">
        <w:tc>
          <w:tcPr>
            <w:tcW w:w="1482" w:type="dxa"/>
          </w:tcPr>
          <w:p w14:paraId="757FDDEA" w14:textId="77777777" w:rsidR="006A66D7" w:rsidRDefault="006A66D7" w:rsidP="005C0336">
            <w:pPr>
              <w:pStyle w:val="Compact"/>
              <w:jc w:val="right"/>
            </w:pPr>
            <w:r>
              <w:t>111130</w:t>
            </w:r>
          </w:p>
        </w:tc>
        <w:tc>
          <w:tcPr>
            <w:tcW w:w="4454" w:type="dxa"/>
          </w:tcPr>
          <w:p w14:paraId="457140BC" w14:textId="77777777" w:rsidR="006A66D7" w:rsidRDefault="006A66D7" w:rsidP="005C0336">
            <w:pPr>
              <w:pStyle w:val="Compact"/>
            </w:pPr>
            <w:r>
              <w:t>Dry Pea and Bean Farming</w:t>
            </w:r>
          </w:p>
        </w:tc>
        <w:tc>
          <w:tcPr>
            <w:tcW w:w="1732" w:type="dxa"/>
          </w:tcPr>
          <w:p w14:paraId="24CD4756" w14:textId="77777777" w:rsidR="006A66D7" w:rsidRDefault="006A66D7" w:rsidP="005C0336">
            <w:pPr>
              <w:pStyle w:val="Compact"/>
              <w:jc w:val="right"/>
            </w:pPr>
            <w:r>
              <w:t>3.007</w:t>
            </w:r>
          </w:p>
        </w:tc>
        <w:tc>
          <w:tcPr>
            <w:tcW w:w="900" w:type="dxa"/>
          </w:tcPr>
          <w:p w14:paraId="72367C51" w14:textId="77777777" w:rsidR="006A66D7" w:rsidRDefault="006A66D7" w:rsidP="005C0336">
            <w:pPr>
              <w:pStyle w:val="Compact"/>
              <w:jc w:val="right"/>
            </w:pPr>
            <w:r>
              <w:t>0.848</w:t>
            </w:r>
          </w:p>
        </w:tc>
        <w:tc>
          <w:tcPr>
            <w:tcW w:w="1170" w:type="dxa"/>
          </w:tcPr>
          <w:p w14:paraId="2F4C139B" w14:textId="77777777" w:rsidR="006A66D7" w:rsidRDefault="006A66D7" w:rsidP="005C0336">
            <w:pPr>
              <w:pStyle w:val="Compact"/>
              <w:jc w:val="right"/>
            </w:pPr>
            <w:r>
              <w:t>-0.7180</w:t>
            </w:r>
          </w:p>
        </w:tc>
      </w:tr>
      <w:tr w:rsidR="006A66D7" w14:paraId="797FA4F7" w14:textId="77777777" w:rsidTr="001F00A0">
        <w:tc>
          <w:tcPr>
            <w:tcW w:w="1482" w:type="dxa"/>
          </w:tcPr>
          <w:p w14:paraId="15A2A457" w14:textId="77777777" w:rsidR="006A66D7" w:rsidRDefault="006A66D7" w:rsidP="005C0336">
            <w:pPr>
              <w:pStyle w:val="Compact"/>
              <w:jc w:val="right"/>
            </w:pPr>
            <w:r>
              <w:t>111140</w:t>
            </w:r>
          </w:p>
        </w:tc>
        <w:tc>
          <w:tcPr>
            <w:tcW w:w="4454" w:type="dxa"/>
          </w:tcPr>
          <w:p w14:paraId="1B87616B" w14:textId="77777777" w:rsidR="006A66D7" w:rsidRDefault="006A66D7" w:rsidP="005C0336">
            <w:pPr>
              <w:pStyle w:val="Compact"/>
            </w:pPr>
            <w:r>
              <w:t>Wheat Farming</w:t>
            </w:r>
          </w:p>
        </w:tc>
        <w:tc>
          <w:tcPr>
            <w:tcW w:w="1732" w:type="dxa"/>
          </w:tcPr>
          <w:p w14:paraId="33B1081C" w14:textId="77777777" w:rsidR="006A66D7" w:rsidRDefault="006A66D7" w:rsidP="005C0336">
            <w:pPr>
              <w:pStyle w:val="Compact"/>
              <w:jc w:val="right"/>
            </w:pPr>
            <w:r>
              <w:t>3.007</w:t>
            </w:r>
          </w:p>
        </w:tc>
        <w:tc>
          <w:tcPr>
            <w:tcW w:w="900" w:type="dxa"/>
          </w:tcPr>
          <w:p w14:paraId="2990E387" w14:textId="77777777" w:rsidR="006A66D7" w:rsidRDefault="006A66D7" w:rsidP="005C0336">
            <w:pPr>
              <w:pStyle w:val="Compact"/>
              <w:jc w:val="right"/>
            </w:pPr>
            <w:r>
              <w:t>0.848</w:t>
            </w:r>
          </w:p>
        </w:tc>
        <w:tc>
          <w:tcPr>
            <w:tcW w:w="1170" w:type="dxa"/>
          </w:tcPr>
          <w:p w14:paraId="36758537" w14:textId="77777777" w:rsidR="006A66D7" w:rsidRDefault="006A66D7" w:rsidP="005C0336">
            <w:pPr>
              <w:pStyle w:val="Compact"/>
              <w:jc w:val="right"/>
            </w:pPr>
            <w:r>
              <w:t>-0.7180</w:t>
            </w:r>
          </w:p>
        </w:tc>
      </w:tr>
      <w:tr w:rsidR="006A66D7" w14:paraId="2CF4662F" w14:textId="77777777" w:rsidTr="001F00A0">
        <w:tc>
          <w:tcPr>
            <w:tcW w:w="1482" w:type="dxa"/>
          </w:tcPr>
          <w:p w14:paraId="30E8905E" w14:textId="77777777" w:rsidR="006A66D7" w:rsidRDefault="006A66D7" w:rsidP="005C0336">
            <w:pPr>
              <w:pStyle w:val="Compact"/>
              <w:jc w:val="right"/>
            </w:pPr>
            <w:r>
              <w:t>111150</w:t>
            </w:r>
          </w:p>
        </w:tc>
        <w:tc>
          <w:tcPr>
            <w:tcW w:w="4454" w:type="dxa"/>
          </w:tcPr>
          <w:p w14:paraId="64F72AB5" w14:textId="77777777" w:rsidR="006A66D7" w:rsidRDefault="006A66D7" w:rsidP="005C0336">
            <w:pPr>
              <w:pStyle w:val="Compact"/>
            </w:pPr>
            <w:r>
              <w:t>Corn Farming</w:t>
            </w:r>
          </w:p>
        </w:tc>
        <w:tc>
          <w:tcPr>
            <w:tcW w:w="1732" w:type="dxa"/>
          </w:tcPr>
          <w:p w14:paraId="792E434F" w14:textId="77777777" w:rsidR="006A66D7" w:rsidRDefault="006A66D7" w:rsidP="005C0336">
            <w:pPr>
              <w:pStyle w:val="Compact"/>
              <w:jc w:val="right"/>
            </w:pPr>
            <w:r>
              <w:t>3.007</w:t>
            </w:r>
          </w:p>
        </w:tc>
        <w:tc>
          <w:tcPr>
            <w:tcW w:w="900" w:type="dxa"/>
          </w:tcPr>
          <w:p w14:paraId="7ED91A91" w14:textId="77777777" w:rsidR="006A66D7" w:rsidRDefault="006A66D7" w:rsidP="005C0336">
            <w:pPr>
              <w:pStyle w:val="Compact"/>
              <w:jc w:val="right"/>
            </w:pPr>
            <w:r>
              <w:t>0.848</w:t>
            </w:r>
          </w:p>
        </w:tc>
        <w:tc>
          <w:tcPr>
            <w:tcW w:w="1170" w:type="dxa"/>
          </w:tcPr>
          <w:p w14:paraId="69DD2A07" w14:textId="77777777" w:rsidR="006A66D7" w:rsidRDefault="006A66D7" w:rsidP="005C0336">
            <w:pPr>
              <w:pStyle w:val="Compact"/>
              <w:jc w:val="right"/>
            </w:pPr>
            <w:r>
              <w:t>-0.7180</w:t>
            </w:r>
          </w:p>
        </w:tc>
      </w:tr>
      <w:tr w:rsidR="006A66D7" w14:paraId="1CBAB9D3" w14:textId="77777777" w:rsidTr="001F00A0">
        <w:tc>
          <w:tcPr>
            <w:tcW w:w="1482" w:type="dxa"/>
          </w:tcPr>
          <w:p w14:paraId="3700D192" w14:textId="77777777" w:rsidR="006A66D7" w:rsidRDefault="006A66D7" w:rsidP="005C0336">
            <w:pPr>
              <w:pStyle w:val="Compact"/>
              <w:jc w:val="right"/>
            </w:pPr>
            <w:r>
              <w:t>111160</w:t>
            </w:r>
          </w:p>
        </w:tc>
        <w:tc>
          <w:tcPr>
            <w:tcW w:w="4454" w:type="dxa"/>
          </w:tcPr>
          <w:p w14:paraId="3574A63B" w14:textId="77777777" w:rsidR="006A66D7" w:rsidRDefault="006A66D7" w:rsidP="005C0336">
            <w:pPr>
              <w:pStyle w:val="Compact"/>
            </w:pPr>
            <w:r>
              <w:t>Rice Farming</w:t>
            </w:r>
          </w:p>
        </w:tc>
        <w:tc>
          <w:tcPr>
            <w:tcW w:w="1732" w:type="dxa"/>
          </w:tcPr>
          <w:p w14:paraId="5719F741" w14:textId="77777777" w:rsidR="006A66D7" w:rsidRDefault="006A66D7" w:rsidP="005C0336">
            <w:pPr>
              <w:pStyle w:val="Compact"/>
              <w:jc w:val="right"/>
            </w:pPr>
            <w:r>
              <w:t>3.007</w:t>
            </w:r>
          </w:p>
        </w:tc>
        <w:tc>
          <w:tcPr>
            <w:tcW w:w="900" w:type="dxa"/>
          </w:tcPr>
          <w:p w14:paraId="1A2F5FF1" w14:textId="77777777" w:rsidR="006A66D7" w:rsidRDefault="006A66D7" w:rsidP="005C0336">
            <w:pPr>
              <w:pStyle w:val="Compact"/>
              <w:jc w:val="right"/>
            </w:pPr>
            <w:r>
              <w:t>0.848</w:t>
            </w:r>
          </w:p>
        </w:tc>
        <w:tc>
          <w:tcPr>
            <w:tcW w:w="1170" w:type="dxa"/>
          </w:tcPr>
          <w:p w14:paraId="26806689" w14:textId="77777777" w:rsidR="006A66D7" w:rsidRDefault="006A66D7" w:rsidP="005C0336">
            <w:pPr>
              <w:pStyle w:val="Compact"/>
              <w:jc w:val="right"/>
            </w:pPr>
            <w:r>
              <w:t>-0.7180</w:t>
            </w:r>
          </w:p>
        </w:tc>
      </w:tr>
      <w:tr w:rsidR="006A66D7" w14:paraId="61AB22AC" w14:textId="77777777" w:rsidTr="001F00A0">
        <w:tc>
          <w:tcPr>
            <w:tcW w:w="1482" w:type="dxa"/>
          </w:tcPr>
          <w:p w14:paraId="4277858E" w14:textId="77777777" w:rsidR="006A66D7" w:rsidRDefault="006A66D7" w:rsidP="005C0336">
            <w:pPr>
              <w:pStyle w:val="Compact"/>
              <w:jc w:val="right"/>
            </w:pPr>
            <w:r>
              <w:t>111191</w:t>
            </w:r>
          </w:p>
        </w:tc>
        <w:tc>
          <w:tcPr>
            <w:tcW w:w="4454" w:type="dxa"/>
          </w:tcPr>
          <w:p w14:paraId="7E4B715F" w14:textId="77777777" w:rsidR="006A66D7" w:rsidRDefault="006A66D7" w:rsidP="005C0336">
            <w:pPr>
              <w:pStyle w:val="Compact"/>
            </w:pPr>
            <w:r>
              <w:t>Oilseed and Grain Combination Farming</w:t>
            </w:r>
          </w:p>
        </w:tc>
        <w:tc>
          <w:tcPr>
            <w:tcW w:w="1732" w:type="dxa"/>
          </w:tcPr>
          <w:p w14:paraId="2F495315" w14:textId="77777777" w:rsidR="006A66D7" w:rsidRDefault="006A66D7" w:rsidP="005C0336">
            <w:pPr>
              <w:pStyle w:val="Compact"/>
              <w:jc w:val="right"/>
            </w:pPr>
            <w:r>
              <w:t>3.007</w:t>
            </w:r>
          </w:p>
        </w:tc>
        <w:tc>
          <w:tcPr>
            <w:tcW w:w="900" w:type="dxa"/>
          </w:tcPr>
          <w:p w14:paraId="2B0512FD" w14:textId="77777777" w:rsidR="006A66D7" w:rsidRDefault="006A66D7" w:rsidP="005C0336">
            <w:pPr>
              <w:pStyle w:val="Compact"/>
              <w:jc w:val="right"/>
            </w:pPr>
            <w:r>
              <w:t>0.848</w:t>
            </w:r>
          </w:p>
        </w:tc>
        <w:tc>
          <w:tcPr>
            <w:tcW w:w="1170" w:type="dxa"/>
          </w:tcPr>
          <w:p w14:paraId="7CB63CE3" w14:textId="77777777" w:rsidR="006A66D7" w:rsidRDefault="006A66D7" w:rsidP="005C0336">
            <w:pPr>
              <w:pStyle w:val="Compact"/>
              <w:jc w:val="right"/>
            </w:pPr>
            <w:r>
              <w:t>-0.7180</w:t>
            </w:r>
          </w:p>
        </w:tc>
      </w:tr>
      <w:tr w:rsidR="006A66D7" w14:paraId="1E1F8CF9" w14:textId="77777777" w:rsidTr="001F00A0">
        <w:tc>
          <w:tcPr>
            <w:tcW w:w="1482" w:type="dxa"/>
          </w:tcPr>
          <w:p w14:paraId="7D5E082F" w14:textId="77777777" w:rsidR="006A66D7" w:rsidRDefault="006A66D7" w:rsidP="005C0336">
            <w:pPr>
              <w:pStyle w:val="Compact"/>
              <w:jc w:val="right"/>
            </w:pPr>
            <w:r>
              <w:t>111199</w:t>
            </w:r>
          </w:p>
        </w:tc>
        <w:tc>
          <w:tcPr>
            <w:tcW w:w="4454" w:type="dxa"/>
          </w:tcPr>
          <w:p w14:paraId="1B6CDBE7" w14:textId="77777777" w:rsidR="006A66D7" w:rsidRDefault="006A66D7" w:rsidP="005C0336">
            <w:pPr>
              <w:pStyle w:val="Compact"/>
            </w:pPr>
            <w:r>
              <w:t>All Other Grain Farming</w:t>
            </w:r>
          </w:p>
        </w:tc>
        <w:tc>
          <w:tcPr>
            <w:tcW w:w="1732" w:type="dxa"/>
          </w:tcPr>
          <w:p w14:paraId="3A3CE4E4" w14:textId="77777777" w:rsidR="006A66D7" w:rsidRDefault="006A66D7" w:rsidP="005C0336">
            <w:pPr>
              <w:pStyle w:val="Compact"/>
              <w:jc w:val="right"/>
            </w:pPr>
            <w:r>
              <w:t>3.007</w:t>
            </w:r>
          </w:p>
        </w:tc>
        <w:tc>
          <w:tcPr>
            <w:tcW w:w="900" w:type="dxa"/>
          </w:tcPr>
          <w:p w14:paraId="4D25CC9A" w14:textId="77777777" w:rsidR="006A66D7" w:rsidRDefault="006A66D7" w:rsidP="005C0336">
            <w:pPr>
              <w:pStyle w:val="Compact"/>
              <w:jc w:val="right"/>
            </w:pPr>
            <w:r>
              <w:t>0.848</w:t>
            </w:r>
          </w:p>
        </w:tc>
        <w:tc>
          <w:tcPr>
            <w:tcW w:w="1170" w:type="dxa"/>
          </w:tcPr>
          <w:p w14:paraId="3E271E9D" w14:textId="77777777" w:rsidR="006A66D7" w:rsidRDefault="006A66D7" w:rsidP="005C0336">
            <w:pPr>
              <w:pStyle w:val="Compact"/>
              <w:jc w:val="right"/>
            </w:pPr>
            <w:r>
              <w:t>-0.7180</w:t>
            </w:r>
          </w:p>
        </w:tc>
      </w:tr>
      <w:tr w:rsidR="006A66D7" w14:paraId="100CB924" w14:textId="77777777" w:rsidTr="001F00A0">
        <w:tc>
          <w:tcPr>
            <w:tcW w:w="1482" w:type="dxa"/>
          </w:tcPr>
          <w:p w14:paraId="3B6FEB53" w14:textId="77777777" w:rsidR="006A66D7" w:rsidRDefault="006A66D7" w:rsidP="005C0336">
            <w:pPr>
              <w:pStyle w:val="Compact"/>
              <w:jc w:val="right"/>
            </w:pPr>
            <w:r>
              <w:t>111411</w:t>
            </w:r>
          </w:p>
        </w:tc>
        <w:tc>
          <w:tcPr>
            <w:tcW w:w="4454" w:type="dxa"/>
          </w:tcPr>
          <w:p w14:paraId="4FA391D7" w14:textId="77777777" w:rsidR="006A66D7" w:rsidRDefault="006A66D7" w:rsidP="005C0336">
            <w:pPr>
              <w:pStyle w:val="Compact"/>
            </w:pPr>
            <w:r>
              <w:t>Mushroom Production</w:t>
            </w:r>
          </w:p>
        </w:tc>
        <w:tc>
          <w:tcPr>
            <w:tcW w:w="1732" w:type="dxa"/>
          </w:tcPr>
          <w:p w14:paraId="511EB1E8" w14:textId="77777777" w:rsidR="006A66D7" w:rsidRDefault="006A66D7" w:rsidP="005C0336">
            <w:pPr>
              <w:pStyle w:val="Compact"/>
              <w:jc w:val="right"/>
            </w:pPr>
            <w:r>
              <w:t>1.043</w:t>
            </w:r>
          </w:p>
        </w:tc>
        <w:tc>
          <w:tcPr>
            <w:tcW w:w="900" w:type="dxa"/>
          </w:tcPr>
          <w:p w14:paraId="219BF217" w14:textId="77777777" w:rsidR="006A66D7" w:rsidRDefault="006A66D7" w:rsidP="005C0336">
            <w:pPr>
              <w:pStyle w:val="Compact"/>
              <w:jc w:val="right"/>
            </w:pPr>
            <w:r>
              <w:t>0.307</w:t>
            </w:r>
          </w:p>
        </w:tc>
        <w:tc>
          <w:tcPr>
            <w:tcW w:w="1170" w:type="dxa"/>
          </w:tcPr>
          <w:p w14:paraId="76A329E7" w14:textId="77777777" w:rsidR="006A66D7" w:rsidRDefault="006A66D7" w:rsidP="005C0336">
            <w:pPr>
              <w:pStyle w:val="Compact"/>
              <w:jc w:val="right"/>
            </w:pPr>
            <w:r>
              <w:t>-0.7057</w:t>
            </w:r>
          </w:p>
        </w:tc>
      </w:tr>
      <w:tr w:rsidR="006A66D7" w14:paraId="0B9BA54C" w14:textId="77777777" w:rsidTr="001F00A0">
        <w:tc>
          <w:tcPr>
            <w:tcW w:w="1482" w:type="dxa"/>
          </w:tcPr>
          <w:p w14:paraId="532766A7" w14:textId="77777777" w:rsidR="006A66D7" w:rsidRDefault="006A66D7" w:rsidP="005C0336">
            <w:pPr>
              <w:pStyle w:val="Compact"/>
              <w:jc w:val="right"/>
            </w:pPr>
            <w:r>
              <w:t>111419</w:t>
            </w:r>
          </w:p>
        </w:tc>
        <w:tc>
          <w:tcPr>
            <w:tcW w:w="4454" w:type="dxa"/>
          </w:tcPr>
          <w:p w14:paraId="299A06EF" w14:textId="77777777" w:rsidR="006A66D7" w:rsidRDefault="006A66D7" w:rsidP="005C0336">
            <w:pPr>
              <w:pStyle w:val="Compact"/>
            </w:pPr>
            <w:r>
              <w:t>Other Food Crops Grown Under Cover</w:t>
            </w:r>
          </w:p>
        </w:tc>
        <w:tc>
          <w:tcPr>
            <w:tcW w:w="1732" w:type="dxa"/>
          </w:tcPr>
          <w:p w14:paraId="1508D8BE" w14:textId="77777777" w:rsidR="006A66D7" w:rsidRDefault="006A66D7" w:rsidP="005C0336">
            <w:pPr>
              <w:pStyle w:val="Compact"/>
              <w:jc w:val="right"/>
            </w:pPr>
            <w:r>
              <w:t>1.043</w:t>
            </w:r>
          </w:p>
        </w:tc>
        <w:tc>
          <w:tcPr>
            <w:tcW w:w="900" w:type="dxa"/>
          </w:tcPr>
          <w:p w14:paraId="0F6FA34E" w14:textId="77777777" w:rsidR="006A66D7" w:rsidRDefault="006A66D7" w:rsidP="005C0336">
            <w:pPr>
              <w:pStyle w:val="Compact"/>
              <w:jc w:val="right"/>
            </w:pPr>
            <w:r>
              <w:t>0.307</w:t>
            </w:r>
          </w:p>
        </w:tc>
        <w:tc>
          <w:tcPr>
            <w:tcW w:w="1170" w:type="dxa"/>
          </w:tcPr>
          <w:p w14:paraId="48D8963E" w14:textId="77777777" w:rsidR="006A66D7" w:rsidRDefault="006A66D7" w:rsidP="005C0336">
            <w:pPr>
              <w:pStyle w:val="Compact"/>
              <w:jc w:val="right"/>
            </w:pPr>
            <w:r>
              <w:t>-0.7057</w:t>
            </w:r>
          </w:p>
        </w:tc>
      </w:tr>
      <w:tr w:rsidR="006A66D7" w14:paraId="3E8D8227" w14:textId="77777777" w:rsidTr="001F00A0">
        <w:tc>
          <w:tcPr>
            <w:tcW w:w="1482" w:type="dxa"/>
          </w:tcPr>
          <w:p w14:paraId="6D211100" w14:textId="77777777" w:rsidR="006A66D7" w:rsidRDefault="006A66D7" w:rsidP="005C0336">
            <w:pPr>
              <w:pStyle w:val="Compact"/>
              <w:jc w:val="right"/>
            </w:pPr>
            <w:r>
              <w:t>111421</w:t>
            </w:r>
          </w:p>
        </w:tc>
        <w:tc>
          <w:tcPr>
            <w:tcW w:w="4454" w:type="dxa"/>
          </w:tcPr>
          <w:p w14:paraId="28961647" w14:textId="77777777" w:rsidR="006A66D7" w:rsidRDefault="006A66D7" w:rsidP="005C0336">
            <w:pPr>
              <w:pStyle w:val="Compact"/>
            </w:pPr>
            <w:r>
              <w:t>Nursery and Tree Production</w:t>
            </w:r>
          </w:p>
        </w:tc>
        <w:tc>
          <w:tcPr>
            <w:tcW w:w="1732" w:type="dxa"/>
          </w:tcPr>
          <w:p w14:paraId="20E15D37" w14:textId="77777777" w:rsidR="006A66D7" w:rsidRDefault="006A66D7" w:rsidP="005C0336">
            <w:pPr>
              <w:pStyle w:val="Compact"/>
              <w:jc w:val="right"/>
            </w:pPr>
            <w:r>
              <w:t>1.043</w:t>
            </w:r>
          </w:p>
        </w:tc>
        <w:tc>
          <w:tcPr>
            <w:tcW w:w="900" w:type="dxa"/>
          </w:tcPr>
          <w:p w14:paraId="00C1BC09" w14:textId="77777777" w:rsidR="006A66D7" w:rsidRDefault="006A66D7" w:rsidP="005C0336">
            <w:pPr>
              <w:pStyle w:val="Compact"/>
              <w:jc w:val="right"/>
            </w:pPr>
            <w:r>
              <w:t>0.307</w:t>
            </w:r>
          </w:p>
        </w:tc>
        <w:tc>
          <w:tcPr>
            <w:tcW w:w="1170" w:type="dxa"/>
          </w:tcPr>
          <w:p w14:paraId="23574976" w14:textId="77777777" w:rsidR="006A66D7" w:rsidRDefault="006A66D7" w:rsidP="005C0336">
            <w:pPr>
              <w:pStyle w:val="Compact"/>
              <w:jc w:val="right"/>
            </w:pPr>
            <w:r>
              <w:t>-0.7057</w:t>
            </w:r>
          </w:p>
        </w:tc>
      </w:tr>
      <w:tr w:rsidR="006A66D7" w14:paraId="3BDCA51C" w14:textId="77777777" w:rsidTr="001F00A0">
        <w:tc>
          <w:tcPr>
            <w:tcW w:w="1482" w:type="dxa"/>
          </w:tcPr>
          <w:p w14:paraId="55C6EA82" w14:textId="77777777" w:rsidR="006A66D7" w:rsidRDefault="006A66D7" w:rsidP="005C0336">
            <w:pPr>
              <w:pStyle w:val="Compact"/>
              <w:jc w:val="right"/>
            </w:pPr>
            <w:r>
              <w:t>111422</w:t>
            </w:r>
          </w:p>
        </w:tc>
        <w:tc>
          <w:tcPr>
            <w:tcW w:w="4454" w:type="dxa"/>
          </w:tcPr>
          <w:p w14:paraId="4B1F5CFC" w14:textId="77777777" w:rsidR="006A66D7" w:rsidRDefault="006A66D7" w:rsidP="005C0336">
            <w:pPr>
              <w:pStyle w:val="Compact"/>
            </w:pPr>
            <w:r>
              <w:t>Floriculture Production</w:t>
            </w:r>
          </w:p>
        </w:tc>
        <w:tc>
          <w:tcPr>
            <w:tcW w:w="1732" w:type="dxa"/>
          </w:tcPr>
          <w:p w14:paraId="0D3F0EA2" w14:textId="77777777" w:rsidR="006A66D7" w:rsidRDefault="006A66D7" w:rsidP="005C0336">
            <w:pPr>
              <w:pStyle w:val="Compact"/>
              <w:jc w:val="right"/>
            </w:pPr>
            <w:r>
              <w:t>1.043</w:t>
            </w:r>
          </w:p>
        </w:tc>
        <w:tc>
          <w:tcPr>
            <w:tcW w:w="900" w:type="dxa"/>
          </w:tcPr>
          <w:p w14:paraId="47212395" w14:textId="77777777" w:rsidR="006A66D7" w:rsidRDefault="006A66D7" w:rsidP="005C0336">
            <w:pPr>
              <w:pStyle w:val="Compact"/>
              <w:jc w:val="right"/>
            </w:pPr>
            <w:r>
              <w:t>0.307</w:t>
            </w:r>
          </w:p>
        </w:tc>
        <w:tc>
          <w:tcPr>
            <w:tcW w:w="1170" w:type="dxa"/>
          </w:tcPr>
          <w:p w14:paraId="5D5EF6F3" w14:textId="77777777" w:rsidR="006A66D7" w:rsidRDefault="006A66D7" w:rsidP="005C0336">
            <w:pPr>
              <w:pStyle w:val="Compact"/>
              <w:jc w:val="right"/>
            </w:pPr>
            <w:r>
              <w:t>-0.7057</w:t>
            </w:r>
          </w:p>
        </w:tc>
      </w:tr>
      <w:tr w:rsidR="006A66D7" w14:paraId="35A9E6DC" w14:textId="77777777" w:rsidTr="001F00A0">
        <w:tc>
          <w:tcPr>
            <w:tcW w:w="1482" w:type="dxa"/>
          </w:tcPr>
          <w:p w14:paraId="1AB6EDBA" w14:textId="77777777" w:rsidR="006A66D7" w:rsidRDefault="006A66D7" w:rsidP="005C0336">
            <w:pPr>
              <w:pStyle w:val="Compact"/>
              <w:jc w:val="right"/>
            </w:pPr>
            <w:r>
              <w:t>325130</w:t>
            </w:r>
          </w:p>
        </w:tc>
        <w:tc>
          <w:tcPr>
            <w:tcW w:w="4454" w:type="dxa"/>
          </w:tcPr>
          <w:p w14:paraId="76CAC824" w14:textId="77777777" w:rsidR="006A66D7" w:rsidRDefault="006A66D7" w:rsidP="005C0336">
            <w:pPr>
              <w:pStyle w:val="Compact"/>
            </w:pPr>
            <w:r>
              <w:t>Synthetic Dye and Pigment Manufacturing</w:t>
            </w:r>
          </w:p>
        </w:tc>
        <w:tc>
          <w:tcPr>
            <w:tcW w:w="1732" w:type="dxa"/>
          </w:tcPr>
          <w:p w14:paraId="5C6D0988" w14:textId="77777777" w:rsidR="006A66D7" w:rsidRDefault="006A66D7" w:rsidP="005C0336">
            <w:pPr>
              <w:pStyle w:val="Compact"/>
              <w:jc w:val="right"/>
            </w:pPr>
            <w:r>
              <w:t>1.382</w:t>
            </w:r>
          </w:p>
        </w:tc>
        <w:tc>
          <w:tcPr>
            <w:tcW w:w="900" w:type="dxa"/>
          </w:tcPr>
          <w:p w14:paraId="5E139B5E" w14:textId="77777777" w:rsidR="006A66D7" w:rsidRDefault="006A66D7" w:rsidP="005C0336">
            <w:pPr>
              <w:pStyle w:val="Compact"/>
              <w:jc w:val="right"/>
            </w:pPr>
            <w:r>
              <w:t>0.432</w:t>
            </w:r>
          </w:p>
        </w:tc>
        <w:tc>
          <w:tcPr>
            <w:tcW w:w="1170" w:type="dxa"/>
          </w:tcPr>
          <w:p w14:paraId="313C53BE" w14:textId="77777777" w:rsidR="006A66D7" w:rsidRDefault="006A66D7" w:rsidP="005C0336">
            <w:pPr>
              <w:pStyle w:val="Compact"/>
              <w:jc w:val="right"/>
            </w:pPr>
            <w:r>
              <w:t>-0.6874</w:t>
            </w:r>
          </w:p>
        </w:tc>
      </w:tr>
      <w:tr w:rsidR="006A66D7" w14:paraId="1B9B3D9A" w14:textId="77777777" w:rsidTr="001F00A0">
        <w:tc>
          <w:tcPr>
            <w:tcW w:w="1482" w:type="dxa"/>
          </w:tcPr>
          <w:p w14:paraId="520A4F33" w14:textId="77777777" w:rsidR="006A66D7" w:rsidRDefault="006A66D7" w:rsidP="005C0336">
            <w:pPr>
              <w:pStyle w:val="Compact"/>
              <w:jc w:val="right"/>
            </w:pPr>
            <w:r>
              <w:t>324110</w:t>
            </w:r>
          </w:p>
        </w:tc>
        <w:tc>
          <w:tcPr>
            <w:tcW w:w="4454" w:type="dxa"/>
          </w:tcPr>
          <w:p w14:paraId="708D4A17" w14:textId="77777777" w:rsidR="006A66D7" w:rsidRDefault="006A66D7" w:rsidP="005C0336">
            <w:pPr>
              <w:pStyle w:val="Compact"/>
            </w:pPr>
            <w:r>
              <w:t>Petroleum Refineries</w:t>
            </w:r>
          </w:p>
        </w:tc>
        <w:tc>
          <w:tcPr>
            <w:tcW w:w="1732" w:type="dxa"/>
          </w:tcPr>
          <w:p w14:paraId="77604A24" w14:textId="77777777" w:rsidR="006A66D7" w:rsidRDefault="006A66D7" w:rsidP="005C0336">
            <w:pPr>
              <w:pStyle w:val="Compact"/>
              <w:jc w:val="right"/>
            </w:pPr>
            <w:r>
              <w:t>0.859</w:t>
            </w:r>
          </w:p>
        </w:tc>
        <w:tc>
          <w:tcPr>
            <w:tcW w:w="900" w:type="dxa"/>
          </w:tcPr>
          <w:p w14:paraId="44093599" w14:textId="77777777" w:rsidR="006A66D7" w:rsidRDefault="006A66D7" w:rsidP="005C0336">
            <w:pPr>
              <w:pStyle w:val="Compact"/>
              <w:jc w:val="right"/>
            </w:pPr>
            <w:r>
              <w:t>0.270</w:t>
            </w:r>
          </w:p>
        </w:tc>
        <w:tc>
          <w:tcPr>
            <w:tcW w:w="1170" w:type="dxa"/>
          </w:tcPr>
          <w:p w14:paraId="305A056D" w14:textId="77777777" w:rsidR="006A66D7" w:rsidRDefault="006A66D7" w:rsidP="005C0336">
            <w:pPr>
              <w:pStyle w:val="Compact"/>
              <w:jc w:val="right"/>
            </w:pPr>
            <w:r>
              <w:t>-0.6857</w:t>
            </w:r>
          </w:p>
        </w:tc>
      </w:tr>
      <w:tr w:rsidR="006A66D7" w14:paraId="6B10A5BB" w14:textId="77777777" w:rsidTr="001F00A0">
        <w:tc>
          <w:tcPr>
            <w:tcW w:w="1482" w:type="dxa"/>
          </w:tcPr>
          <w:p w14:paraId="2D96FC1C" w14:textId="77777777" w:rsidR="006A66D7" w:rsidRDefault="006A66D7" w:rsidP="005C0336">
            <w:pPr>
              <w:pStyle w:val="Compact"/>
              <w:jc w:val="right"/>
            </w:pPr>
            <w:r>
              <w:t>112310</w:t>
            </w:r>
          </w:p>
        </w:tc>
        <w:tc>
          <w:tcPr>
            <w:tcW w:w="4454" w:type="dxa"/>
          </w:tcPr>
          <w:p w14:paraId="14529CBC" w14:textId="77777777" w:rsidR="006A66D7" w:rsidRDefault="006A66D7" w:rsidP="005C0336">
            <w:pPr>
              <w:pStyle w:val="Compact"/>
            </w:pPr>
            <w:r>
              <w:t>Chicken Egg Production</w:t>
            </w:r>
          </w:p>
        </w:tc>
        <w:tc>
          <w:tcPr>
            <w:tcW w:w="1732" w:type="dxa"/>
          </w:tcPr>
          <w:p w14:paraId="4053949D" w14:textId="77777777" w:rsidR="006A66D7" w:rsidRDefault="006A66D7" w:rsidP="005C0336">
            <w:pPr>
              <w:pStyle w:val="Compact"/>
              <w:jc w:val="right"/>
            </w:pPr>
            <w:r>
              <w:t>1.171</w:t>
            </w:r>
          </w:p>
        </w:tc>
        <w:tc>
          <w:tcPr>
            <w:tcW w:w="900" w:type="dxa"/>
          </w:tcPr>
          <w:p w14:paraId="61792D57" w14:textId="77777777" w:rsidR="006A66D7" w:rsidRDefault="006A66D7" w:rsidP="005C0336">
            <w:pPr>
              <w:pStyle w:val="Compact"/>
              <w:jc w:val="right"/>
            </w:pPr>
            <w:r>
              <w:t>0.438</w:t>
            </w:r>
          </w:p>
        </w:tc>
        <w:tc>
          <w:tcPr>
            <w:tcW w:w="1170" w:type="dxa"/>
          </w:tcPr>
          <w:p w14:paraId="00CD4870" w14:textId="77777777" w:rsidR="006A66D7" w:rsidRDefault="006A66D7" w:rsidP="005C0336">
            <w:pPr>
              <w:pStyle w:val="Compact"/>
              <w:jc w:val="right"/>
            </w:pPr>
            <w:r>
              <w:t>-0.6260</w:t>
            </w:r>
          </w:p>
        </w:tc>
      </w:tr>
      <w:tr w:rsidR="006A66D7" w14:paraId="4F0880D0" w14:textId="77777777" w:rsidTr="001F00A0">
        <w:tc>
          <w:tcPr>
            <w:tcW w:w="1482" w:type="dxa"/>
          </w:tcPr>
          <w:p w14:paraId="78B2ED04" w14:textId="77777777" w:rsidR="006A66D7" w:rsidRDefault="006A66D7" w:rsidP="005C0336">
            <w:pPr>
              <w:pStyle w:val="Compact"/>
              <w:jc w:val="right"/>
            </w:pPr>
            <w:r>
              <w:lastRenderedPageBreak/>
              <w:t>112320</w:t>
            </w:r>
          </w:p>
        </w:tc>
        <w:tc>
          <w:tcPr>
            <w:tcW w:w="4454" w:type="dxa"/>
          </w:tcPr>
          <w:p w14:paraId="033BBCDA" w14:textId="77777777" w:rsidR="006A66D7" w:rsidRDefault="006A66D7" w:rsidP="005C0336">
            <w:pPr>
              <w:pStyle w:val="Compact"/>
            </w:pPr>
            <w:r>
              <w:t>Broilers and Other Meat Type Chicken Production</w:t>
            </w:r>
          </w:p>
        </w:tc>
        <w:tc>
          <w:tcPr>
            <w:tcW w:w="1732" w:type="dxa"/>
          </w:tcPr>
          <w:p w14:paraId="25C89731" w14:textId="77777777" w:rsidR="006A66D7" w:rsidRDefault="006A66D7" w:rsidP="005C0336">
            <w:pPr>
              <w:pStyle w:val="Compact"/>
              <w:jc w:val="right"/>
            </w:pPr>
            <w:r>
              <w:t>1.171</w:t>
            </w:r>
          </w:p>
        </w:tc>
        <w:tc>
          <w:tcPr>
            <w:tcW w:w="900" w:type="dxa"/>
          </w:tcPr>
          <w:p w14:paraId="1B5CFBC9" w14:textId="77777777" w:rsidR="006A66D7" w:rsidRDefault="006A66D7" w:rsidP="005C0336">
            <w:pPr>
              <w:pStyle w:val="Compact"/>
              <w:jc w:val="right"/>
            </w:pPr>
            <w:r>
              <w:t>0.438</w:t>
            </w:r>
          </w:p>
        </w:tc>
        <w:tc>
          <w:tcPr>
            <w:tcW w:w="1170" w:type="dxa"/>
          </w:tcPr>
          <w:p w14:paraId="5934155A" w14:textId="77777777" w:rsidR="006A66D7" w:rsidRDefault="006A66D7" w:rsidP="005C0336">
            <w:pPr>
              <w:pStyle w:val="Compact"/>
              <w:jc w:val="right"/>
            </w:pPr>
            <w:r>
              <w:t>-0.6260</w:t>
            </w:r>
          </w:p>
        </w:tc>
      </w:tr>
      <w:tr w:rsidR="006A66D7" w14:paraId="476630EE" w14:textId="77777777" w:rsidTr="001F00A0">
        <w:tc>
          <w:tcPr>
            <w:tcW w:w="1482" w:type="dxa"/>
          </w:tcPr>
          <w:p w14:paraId="1442912B" w14:textId="77777777" w:rsidR="006A66D7" w:rsidRDefault="006A66D7" w:rsidP="005C0336">
            <w:pPr>
              <w:pStyle w:val="Compact"/>
              <w:jc w:val="right"/>
            </w:pPr>
            <w:r>
              <w:t>112330</w:t>
            </w:r>
          </w:p>
        </w:tc>
        <w:tc>
          <w:tcPr>
            <w:tcW w:w="4454" w:type="dxa"/>
          </w:tcPr>
          <w:p w14:paraId="58C7DDC9" w14:textId="77777777" w:rsidR="006A66D7" w:rsidRDefault="006A66D7" w:rsidP="005C0336">
            <w:pPr>
              <w:pStyle w:val="Compact"/>
            </w:pPr>
            <w:r>
              <w:t>Turkey Production</w:t>
            </w:r>
          </w:p>
        </w:tc>
        <w:tc>
          <w:tcPr>
            <w:tcW w:w="1732" w:type="dxa"/>
          </w:tcPr>
          <w:p w14:paraId="06944695" w14:textId="77777777" w:rsidR="006A66D7" w:rsidRDefault="006A66D7" w:rsidP="005C0336">
            <w:pPr>
              <w:pStyle w:val="Compact"/>
              <w:jc w:val="right"/>
            </w:pPr>
            <w:r>
              <w:t>1.171</w:t>
            </w:r>
          </w:p>
        </w:tc>
        <w:tc>
          <w:tcPr>
            <w:tcW w:w="900" w:type="dxa"/>
          </w:tcPr>
          <w:p w14:paraId="01647E73" w14:textId="77777777" w:rsidR="006A66D7" w:rsidRDefault="006A66D7" w:rsidP="005C0336">
            <w:pPr>
              <w:pStyle w:val="Compact"/>
              <w:jc w:val="right"/>
            </w:pPr>
            <w:r>
              <w:t>0.438</w:t>
            </w:r>
          </w:p>
        </w:tc>
        <w:tc>
          <w:tcPr>
            <w:tcW w:w="1170" w:type="dxa"/>
          </w:tcPr>
          <w:p w14:paraId="0753BDB9" w14:textId="77777777" w:rsidR="006A66D7" w:rsidRDefault="006A66D7" w:rsidP="005C0336">
            <w:pPr>
              <w:pStyle w:val="Compact"/>
              <w:jc w:val="right"/>
            </w:pPr>
            <w:r>
              <w:t>-0.6260</w:t>
            </w:r>
          </w:p>
        </w:tc>
      </w:tr>
      <w:tr w:rsidR="006A66D7" w14:paraId="31B44FAF" w14:textId="77777777" w:rsidTr="001F00A0">
        <w:tc>
          <w:tcPr>
            <w:tcW w:w="1482" w:type="dxa"/>
          </w:tcPr>
          <w:p w14:paraId="366FFEAE" w14:textId="77777777" w:rsidR="006A66D7" w:rsidRDefault="006A66D7" w:rsidP="005C0336">
            <w:pPr>
              <w:pStyle w:val="Compact"/>
              <w:jc w:val="right"/>
            </w:pPr>
            <w:r>
              <w:t>112340</w:t>
            </w:r>
          </w:p>
        </w:tc>
        <w:tc>
          <w:tcPr>
            <w:tcW w:w="4454" w:type="dxa"/>
          </w:tcPr>
          <w:p w14:paraId="018A1DB3" w14:textId="77777777" w:rsidR="006A66D7" w:rsidRDefault="006A66D7" w:rsidP="005C0336">
            <w:pPr>
              <w:pStyle w:val="Compact"/>
            </w:pPr>
            <w:r>
              <w:t>Poultry Hatcheries</w:t>
            </w:r>
          </w:p>
        </w:tc>
        <w:tc>
          <w:tcPr>
            <w:tcW w:w="1732" w:type="dxa"/>
          </w:tcPr>
          <w:p w14:paraId="2AA21041" w14:textId="77777777" w:rsidR="006A66D7" w:rsidRDefault="006A66D7" w:rsidP="005C0336">
            <w:pPr>
              <w:pStyle w:val="Compact"/>
              <w:jc w:val="right"/>
            </w:pPr>
            <w:r>
              <w:t>1.171</w:t>
            </w:r>
          </w:p>
        </w:tc>
        <w:tc>
          <w:tcPr>
            <w:tcW w:w="900" w:type="dxa"/>
          </w:tcPr>
          <w:p w14:paraId="2656583F" w14:textId="77777777" w:rsidR="006A66D7" w:rsidRDefault="006A66D7" w:rsidP="005C0336">
            <w:pPr>
              <w:pStyle w:val="Compact"/>
              <w:jc w:val="right"/>
            </w:pPr>
            <w:r>
              <w:t>0.438</w:t>
            </w:r>
          </w:p>
        </w:tc>
        <w:tc>
          <w:tcPr>
            <w:tcW w:w="1170" w:type="dxa"/>
          </w:tcPr>
          <w:p w14:paraId="59842491" w14:textId="77777777" w:rsidR="006A66D7" w:rsidRDefault="006A66D7" w:rsidP="005C0336">
            <w:pPr>
              <w:pStyle w:val="Compact"/>
              <w:jc w:val="right"/>
            </w:pPr>
            <w:r>
              <w:t>-0.6260</w:t>
            </w:r>
          </w:p>
        </w:tc>
      </w:tr>
      <w:tr w:rsidR="006A66D7" w14:paraId="31D008B4" w14:textId="77777777" w:rsidTr="001F00A0">
        <w:tc>
          <w:tcPr>
            <w:tcW w:w="1482" w:type="dxa"/>
          </w:tcPr>
          <w:p w14:paraId="6D61CB95" w14:textId="77777777" w:rsidR="006A66D7" w:rsidRDefault="006A66D7" w:rsidP="005C0336">
            <w:pPr>
              <w:pStyle w:val="Compact"/>
              <w:jc w:val="right"/>
            </w:pPr>
            <w:r>
              <w:t>112390</w:t>
            </w:r>
          </w:p>
        </w:tc>
        <w:tc>
          <w:tcPr>
            <w:tcW w:w="4454" w:type="dxa"/>
          </w:tcPr>
          <w:p w14:paraId="5BCBF941" w14:textId="77777777" w:rsidR="006A66D7" w:rsidRDefault="006A66D7" w:rsidP="005C0336">
            <w:pPr>
              <w:pStyle w:val="Compact"/>
            </w:pPr>
            <w:r>
              <w:t>Other Poultry Production</w:t>
            </w:r>
          </w:p>
        </w:tc>
        <w:tc>
          <w:tcPr>
            <w:tcW w:w="1732" w:type="dxa"/>
          </w:tcPr>
          <w:p w14:paraId="3B2622A2" w14:textId="77777777" w:rsidR="006A66D7" w:rsidRDefault="006A66D7" w:rsidP="005C0336">
            <w:pPr>
              <w:pStyle w:val="Compact"/>
              <w:jc w:val="right"/>
            </w:pPr>
            <w:r>
              <w:t>1.171</w:t>
            </w:r>
          </w:p>
        </w:tc>
        <w:tc>
          <w:tcPr>
            <w:tcW w:w="900" w:type="dxa"/>
          </w:tcPr>
          <w:p w14:paraId="410B6988" w14:textId="77777777" w:rsidR="006A66D7" w:rsidRDefault="006A66D7" w:rsidP="005C0336">
            <w:pPr>
              <w:pStyle w:val="Compact"/>
              <w:jc w:val="right"/>
            </w:pPr>
            <w:r>
              <w:t>0.438</w:t>
            </w:r>
          </w:p>
        </w:tc>
        <w:tc>
          <w:tcPr>
            <w:tcW w:w="1170" w:type="dxa"/>
          </w:tcPr>
          <w:p w14:paraId="6DDC6796" w14:textId="77777777" w:rsidR="006A66D7" w:rsidRDefault="006A66D7" w:rsidP="005C0336">
            <w:pPr>
              <w:pStyle w:val="Compact"/>
              <w:jc w:val="right"/>
            </w:pPr>
            <w:r>
              <w:t>-0.6260</w:t>
            </w:r>
          </w:p>
        </w:tc>
      </w:tr>
      <w:tr w:rsidR="006A66D7" w14:paraId="08151A8D" w14:textId="77777777" w:rsidTr="001F00A0">
        <w:tc>
          <w:tcPr>
            <w:tcW w:w="1482" w:type="dxa"/>
          </w:tcPr>
          <w:p w14:paraId="14EAAD4C" w14:textId="77777777" w:rsidR="006A66D7" w:rsidRDefault="006A66D7" w:rsidP="005C0336">
            <w:pPr>
              <w:pStyle w:val="Compact"/>
              <w:jc w:val="right"/>
            </w:pPr>
            <w:r>
              <w:t>813110</w:t>
            </w:r>
          </w:p>
        </w:tc>
        <w:tc>
          <w:tcPr>
            <w:tcW w:w="4454" w:type="dxa"/>
          </w:tcPr>
          <w:p w14:paraId="0A06F02A" w14:textId="77777777" w:rsidR="006A66D7" w:rsidRDefault="006A66D7" w:rsidP="005C0336">
            <w:pPr>
              <w:pStyle w:val="Compact"/>
            </w:pPr>
            <w:r>
              <w:t>Religious Organizations</w:t>
            </w:r>
          </w:p>
        </w:tc>
        <w:tc>
          <w:tcPr>
            <w:tcW w:w="1732" w:type="dxa"/>
          </w:tcPr>
          <w:p w14:paraId="47382D89" w14:textId="77777777" w:rsidR="006A66D7" w:rsidRDefault="006A66D7" w:rsidP="005C0336">
            <w:pPr>
              <w:pStyle w:val="Compact"/>
              <w:jc w:val="right"/>
            </w:pPr>
            <w:r>
              <w:t>0.197</w:t>
            </w:r>
          </w:p>
        </w:tc>
        <w:tc>
          <w:tcPr>
            <w:tcW w:w="900" w:type="dxa"/>
          </w:tcPr>
          <w:p w14:paraId="5137B60A" w14:textId="77777777" w:rsidR="006A66D7" w:rsidRDefault="006A66D7" w:rsidP="005C0336">
            <w:pPr>
              <w:pStyle w:val="Compact"/>
              <w:jc w:val="right"/>
            </w:pPr>
            <w:r>
              <w:t>0.076</w:t>
            </w:r>
          </w:p>
        </w:tc>
        <w:tc>
          <w:tcPr>
            <w:tcW w:w="1170" w:type="dxa"/>
          </w:tcPr>
          <w:p w14:paraId="614F6C3B" w14:textId="77777777" w:rsidR="006A66D7" w:rsidRDefault="006A66D7" w:rsidP="005C0336">
            <w:pPr>
              <w:pStyle w:val="Compact"/>
              <w:jc w:val="right"/>
            </w:pPr>
            <w:r>
              <w:t>-0.6142</w:t>
            </w:r>
          </w:p>
        </w:tc>
      </w:tr>
    </w:tbl>
    <w:p w14:paraId="2CA85623" w14:textId="77777777" w:rsidR="006A66D7" w:rsidRDefault="006A66D7" w:rsidP="006A66D7">
      <w:pPr>
        <w:pStyle w:val="Heading1"/>
      </w:pPr>
    </w:p>
    <w:p w14:paraId="1452081F" w14:textId="50FD380F" w:rsidR="008C05E4" w:rsidRPr="008C05E4" w:rsidRDefault="008C05E4" w:rsidP="008C05E4">
      <w:pPr>
        <w:pStyle w:val="BodyText"/>
        <w:sectPr w:rsidR="008C05E4" w:rsidRPr="008C05E4" w:rsidSect="008C05E4">
          <w:pgSz w:w="15840" w:h="12240" w:orient="landscape"/>
          <w:pgMar w:top="1440" w:right="1440" w:bottom="1440" w:left="1440" w:header="720" w:footer="720" w:gutter="0"/>
          <w:cols w:space="720"/>
          <w:docGrid w:linePitch="326"/>
        </w:sectPr>
      </w:pPr>
    </w:p>
    <w:p w14:paraId="3170482E" w14:textId="6C9F5968" w:rsidR="006A66D7" w:rsidRPr="006A66D7" w:rsidRDefault="006A66D7">
      <w:pPr>
        <w:pStyle w:val="Heading1"/>
        <w:rPr>
          <w:rFonts w:asciiTheme="minorHAnsi" w:eastAsiaTheme="minorHAnsi" w:hAnsiTheme="minorHAnsi" w:cstheme="minorBidi"/>
          <w:b w:val="0"/>
          <w:bCs w:val="0"/>
          <w:color w:val="auto"/>
          <w:sz w:val="24"/>
          <w:szCs w:val="24"/>
        </w:rPr>
      </w:pPr>
      <w:r w:rsidRPr="006A66D7">
        <w:rPr>
          <w:rFonts w:asciiTheme="minorHAnsi" w:eastAsiaTheme="minorHAnsi" w:hAnsiTheme="minorHAnsi" w:cstheme="minorBidi"/>
          <w:b w:val="0"/>
          <w:bCs w:val="0"/>
          <w:color w:val="auto"/>
          <w:sz w:val="24"/>
          <w:szCs w:val="24"/>
        </w:rPr>
        <w:lastRenderedPageBreak/>
        <w:t>For more guidance on using the Factors see the webinar on Using the Supply Chain GHG Emission Factors (W. Ingwersen and Li, 2022)</w:t>
      </w:r>
    </w:p>
    <w:p w14:paraId="4EE419D9" w14:textId="5C8D3D29" w:rsidR="00E8421B" w:rsidRDefault="00FE2928">
      <w:pPr>
        <w:pStyle w:val="Heading1"/>
      </w:pPr>
      <w:r>
        <w:t xml:space="preserve">Code </w:t>
      </w:r>
      <w:r>
        <w:t>Availability</w:t>
      </w:r>
    </w:p>
    <w:p w14:paraId="1FC06E94" w14:textId="77777777" w:rsidR="00E8421B" w:rsidRDefault="00FE2928">
      <w:pPr>
        <w:pStyle w:val="FirstParagraph"/>
      </w:pPr>
      <w:r>
        <w:t xml:space="preserve">The source code for producing the Factors can be found in the </w:t>
      </w:r>
      <w:hyperlink r:id="rId7">
        <w:r>
          <w:rPr>
            <w:rStyle w:val="Hyperlink"/>
          </w:rPr>
          <w:t>USEPA/supply-chain-factors repository</w:t>
        </w:r>
      </w:hyperlink>
      <w:r>
        <w:t>. A model specification file for the USEEIO v</w:t>
      </w:r>
      <w:r>
        <w:t xml:space="preserve">2.2.22-GHG model is present under model-specs. The </w:t>
      </w:r>
      <w:r>
        <w:rPr>
          <w:i/>
          <w:iCs/>
        </w:rPr>
        <w:t>CalculateEmissionFactors.Rmd</w:t>
      </w:r>
      <w:r>
        <w:t xml:space="preserve"> R markdown notebook along with supporting R scripts are used to generate the Factor datasets. This notebook draws on </w:t>
      </w:r>
      <w:hyperlink r:id="rId8">
        <w:r>
          <w:rPr>
            <w:rStyle w:val="Hyperlink"/>
          </w:rPr>
          <w:t>useeior</w:t>
        </w:r>
      </w:hyperlink>
      <w:r>
        <w:t xml:space="preserve"> to build and calculate the USEEIO model. The 2022 GHG direct emission totals by sector dataset, prepared using </w:t>
      </w:r>
      <w:hyperlink r:id="rId9">
        <w:r>
          <w:rPr>
            <w:rStyle w:val="Hyperlink"/>
          </w:rPr>
          <w:t>FLOWSA</w:t>
        </w:r>
      </w:hyperlink>
      <w:r>
        <w:t>, is automatically re</w:t>
      </w:r>
      <w:r>
        <w:t xml:space="preserve">trieved upon building the model for the first time and stored locally for the user. The matching global warming potential factors for the IPCC GWP were prepared using the </w:t>
      </w:r>
      <w:hyperlink r:id="rId10">
        <w:r>
          <w:rPr>
            <w:rStyle w:val="Hyperlink"/>
          </w:rPr>
          <w:t>LCIA Formatter</w:t>
        </w:r>
      </w:hyperlink>
      <w:r>
        <w:t>, and are likewise retrieved and stored locally upon first build of the model. The supply-chain-factors repository provides additional guidance on use of the source code.</w:t>
      </w:r>
    </w:p>
    <w:p w14:paraId="345EE7F4" w14:textId="77777777" w:rsidR="00E8421B" w:rsidRDefault="00FE2928">
      <w:pPr>
        <w:pStyle w:val="Heading1"/>
      </w:pPr>
      <w:bookmarkStart w:id="7" w:name="acknowledgements"/>
      <w:bookmarkEnd w:id="6"/>
      <w:r>
        <w:t>Acknowledgements</w:t>
      </w:r>
    </w:p>
    <w:p w14:paraId="37F53A5B" w14:textId="329EA35E" w:rsidR="00E8421B" w:rsidRDefault="00FE2928">
      <w:pPr>
        <w:pStyle w:val="FirstParagraph"/>
      </w:pPr>
      <w:r>
        <w:t xml:space="preserve">Research to produce this dataset was performed </w:t>
      </w:r>
      <w:r>
        <w:t xml:space="preserve">as part of the USEPA Sustainable and Healthy Communities National Research Program. Ben Young (ERG) assisted in preparing the 2022 GHG sector attribution model. </w:t>
      </w:r>
      <w:r w:rsidRPr="00FE2928">
        <w:t>Michael Raynor and Brian Harmon provided reviews with helpful comments and corrections to improve the documentation.</w:t>
      </w:r>
    </w:p>
    <w:p w14:paraId="55CC902C" w14:textId="77777777" w:rsidR="00E8421B" w:rsidRDefault="00FE2928">
      <w:pPr>
        <w:pStyle w:val="Heading1"/>
      </w:pPr>
      <w:bookmarkStart w:id="8" w:name="references"/>
      <w:bookmarkEnd w:id="7"/>
      <w:r>
        <w:t>References</w:t>
      </w:r>
    </w:p>
    <w:p w14:paraId="23C3BD08" w14:textId="77777777" w:rsidR="00E8421B" w:rsidRDefault="00FE2928">
      <w:pPr>
        <w:pStyle w:val="Bibliography"/>
      </w:pPr>
      <w:bookmarkStart w:id="9" w:name="ref-bea_updates_2023"/>
      <w:bookmarkStart w:id="10" w:name="refs"/>
      <w:r>
        <w:t xml:space="preserve">BEA, 2023. Information on 2023 comprehensive updates to the national, industry, and </w:t>
      </w:r>
      <w:r>
        <w:t xml:space="preserve">state economic accounts [WWW Document]. </w:t>
      </w:r>
      <w:hyperlink r:id="rId11">
        <w:r>
          <w:rPr>
            <w:rStyle w:val="Hyperlink"/>
          </w:rPr>
          <w:t>https://www.bea.gov/information-updates-national-economic-accounts</w:t>
        </w:r>
      </w:hyperlink>
    </w:p>
    <w:p w14:paraId="2737959A" w14:textId="42C9D71C" w:rsidR="00E8421B" w:rsidRDefault="006A66D7">
      <w:pPr>
        <w:pStyle w:val="Bibliography"/>
      </w:pPr>
      <w:bookmarkStart w:id="11" w:name="ref-bea_industry_2022"/>
      <w:bookmarkEnd w:id="9"/>
      <w:r>
        <w:t xml:space="preserve">BEA, 2022. Industry underlying estimates. </w:t>
      </w:r>
      <w:hyperlink r:id="rId12">
        <w:r>
          <w:rPr>
            <w:rStyle w:val="Hyperlink"/>
          </w:rPr>
          <w:t>https://www.bea.gov/products/industry-economic-accounts/underlying-estimates</w:t>
        </w:r>
      </w:hyperlink>
    </w:p>
    <w:p w14:paraId="1A73098B" w14:textId="77777777" w:rsidR="00E8421B" w:rsidRDefault="00FE2928">
      <w:pPr>
        <w:pStyle w:val="Bibliography"/>
      </w:pPr>
      <w:bookmarkStart w:id="12" w:name="ref-sefv1-2_docs_2023"/>
      <w:bookmarkEnd w:id="11"/>
      <w:r>
        <w:t>Ingwersen, W., 2023. Supply Chain Gree</w:t>
      </w:r>
      <w:r>
        <w:t xml:space="preserve">nhouse Gas Emission Factors for US Industries and Commodities v1.2 by NAICS-6. Office of Research; Development, Center for Environmental Solutions; Emergency Response, Washington, D.C. </w:t>
      </w:r>
      <w:hyperlink r:id="rId13">
        <w:r>
          <w:rPr>
            <w:rStyle w:val="Hyperlink"/>
          </w:rPr>
          <w:t>https://doi.org/10.23</w:t>
        </w:r>
        <w:r>
          <w:rPr>
            <w:rStyle w:val="Hyperlink"/>
          </w:rPr>
          <w:t>719/1528686</w:t>
        </w:r>
      </w:hyperlink>
    </w:p>
    <w:p w14:paraId="4A41CFBE" w14:textId="77777777" w:rsidR="00E8421B" w:rsidRDefault="00FE2928">
      <w:pPr>
        <w:pStyle w:val="Bibliography"/>
      </w:pPr>
      <w:bookmarkStart w:id="13" w:name="ref-ingwersen_federal_2021"/>
      <w:bookmarkEnd w:id="12"/>
      <w:r>
        <w:t xml:space="preserve">Ingwersen, W., Edelen, A., Hottle, T., Young, B., Cashman, S., Srocka, M., 2021. Fedelemflowlist v1.0.8. </w:t>
      </w:r>
      <w:hyperlink r:id="rId14">
        <w:r>
          <w:rPr>
            <w:rStyle w:val="Hyperlink"/>
          </w:rPr>
          <w:t>https://doi.org/10.5281/zenodo.6370618</w:t>
        </w:r>
      </w:hyperlink>
    </w:p>
    <w:p w14:paraId="59CB9958" w14:textId="77777777" w:rsidR="00E8421B" w:rsidRDefault="00FE2928">
      <w:pPr>
        <w:pStyle w:val="Bibliography"/>
      </w:pPr>
      <w:bookmarkStart w:id="14" w:name="ref-wesley_ingwersen_using_2022"/>
      <w:bookmarkEnd w:id="13"/>
      <w:r>
        <w:t>Ingwersen, W., Li, M</w:t>
      </w:r>
      <w:r>
        <w:t xml:space="preserve">., 2022. Using the Supply Chain GHG Emission Factors. </w:t>
      </w:r>
      <w:hyperlink r:id="rId15">
        <w:r>
          <w:rPr>
            <w:rStyle w:val="Hyperlink"/>
          </w:rPr>
          <w:t>https://cfpub.epa.gov/si/si_public_record_report.cfm?dirEntryId=354822</w:t>
        </w:r>
      </w:hyperlink>
    </w:p>
    <w:p w14:paraId="72C69F54" w14:textId="77777777" w:rsidR="00E8421B" w:rsidRDefault="00FE2928">
      <w:pPr>
        <w:pStyle w:val="Bibliography"/>
      </w:pPr>
      <w:bookmarkStart w:id="15" w:name="ref-ingwersen_supply_2020"/>
      <w:bookmarkEnd w:id="14"/>
      <w:r>
        <w:t xml:space="preserve">Ingwersen, W., Li, M., 2020b. Supply chain greenhouse gas emission factors for US industries and commodities. </w:t>
      </w:r>
      <w:hyperlink r:id="rId16">
        <w:r>
          <w:rPr>
            <w:rStyle w:val="Hyperlink"/>
          </w:rPr>
          <w:t>https://doi.org/10.23719/1517796</w:t>
        </w:r>
      </w:hyperlink>
    </w:p>
    <w:p w14:paraId="48DB5BF7" w14:textId="77777777" w:rsidR="00E8421B" w:rsidRDefault="00FE2928">
      <w:pPr>
        <w:pStyle w:val="Bibliography"/>
      </w:pPr>
      <w:bookmarkStart w:id="16" w:name="ref-us_epa_supply_2020"/>
      <w:bookmarkEnd w:id="15"/>
      <w:r>
        <w:lastRenderedPageBreak/>
        <w:t xml:space="preserve">Ingwersen, W., Li, M., 2020a. Supply Chain Greenhouse Gas Emission Factors for US Industries and Commodities (No. EPA/600/R-20/001). U.S. Environmental Protection Agency. </w:t>
      </w:r>
      <w:hyperlink r:id="rId17">
        <w:r>
          <w:rPr>
            <w:rStyle w:val="Hyperlink"/>
          </w:rPr>
          <w:t>https://cfpub.epa.gov/si/si_public_record_report.cfm?Lab=CESER&amp;dirEntryId=349324</w:t>
        </w:r>
      </w:hyperlink>
    </w:p>
    <w:p w14:paraId="2263F5B6" w14:textId="77777777" w:rsidR="00E8421B" w:rsidRDefault="00FE2928">
      <w:pPr>
        <w:pStyle w:val="Bibliography"/>
      </w:pPr>
      <w:bookmarkStart w:id="17" w:name="ref-ingwersen_wesley_us_2022"/>
      <w:bookmarkEnd w:id="16"/>
      <w:r>
        <w:t xml:space="preserve">Ingwersen, W., Li, M., Young, B., Vendries, J., </w:t>
      </w:r>
      <w:r>
        <w:t xml:space="preserve">Birney, C., 2022. USEEIO v2.0, the US Environmentally-Extended Input-Output Model v2.0 (USEEIOv2.0). Scientific Data 9, 194. </w:t>
      </w:r>
      <w:hyperlink r:id="rId18">
        <w:r>
          <w:rPr>
            <w:rStyle w:val="Hyperlink"/>
          </w:rPr>
          <w:t>https://doi.org/10.1038/s41597-022-01293-7</w:t>
        </w:r>
      </w:hyperlink>
    </w:p>
    <w:p w14:paraId="6FD61EEE" w14:textId="77777777" w:rsidR="00E8421B" w:rsidRDefault="00FE2928">
      <w:pPr>
        <w:pStyle w:val="Bibliography"/>
      </w:pPr>
      <w:bookmarkStart w:id="18" w:name="ref-ingwersen_supply_2022a"/>
      <w:bookmarkEnd w:id="17"/>
      <w:r>
        <w:t xml:space="preserve">Ingwersen, W.W., Li, M., 2022. Supply Chain Greenhouse Gas Emission Factors for US Industries and Commodities - v1.1. </w:t>
      </w:r>
      <w:hyperlink r:id="rId19">
        <w:r>
          <w:rPr>
            <w:rStyle w:val="Hyperlink"/>
          </w:rPr>
          <w:t>https://doi.org/10.23719/1524524</w:t>
        </w:r>
      </w:hyperlink>
    </w:p>
    <w:p w14:paraId="046D8C2C" w14:textId="77777777" w:rsidR="00E8421B" w:rsidRDefault="00FE2928">
      <w:pPr>
        <w:pStyle w:val="Bibliography"/>
      </w:pPr>
      <w:bookmarkStart w:id="19" w:name="ref-ingwersen_supply_2022"/>
      <w:bookmarkEnd w:id="18"/>
      <w:r>
        <w:t>Ingwersen, W</w:t>
      </w:r>
      <w:r>
        <w:t xml:space="preserve">.W., Li, M., 2022-03-07. Supply Chain Greenhouse Gas Emission Factors for US Industries and Commodities - v1.1.1. </w:t>
      </w:r>
      <w:hyperlink r:id="rId20">
        <w:r>
          <w:rPr>
            <w:rStyle w:val="Hyperlink"/>
          </w:rPr>
          <w:t>https://doi.org/10.23719/1524744</w:t>
        </w:r>
      </w:hyperlink>
    </w:p>
    <w:p w14:paraId="79A72343" w14:textId="77777777" w:rsidR="00E8421B" w:rsidRDefault="00FE2928">
      <w:pPr>
        <w:pStyle w:val="Bibliography"/>
      </w:pPr>
      <w:bookmarkStart w:id="20" w:name="ref-ipcc_climate_2014"/>
      <w:bookmarkEnd w:id="19"/>
      <w:r>
        <w:t>IPCC, 2014. Climate chan</w:t>
      </w:r>
      <w:r>
        <w:t xml:space="preserve">ge 2014: Synthesis report. Contribution of working groups i, II and III to the fifth assessment report of the intergovernmental panel on climate change. IPCC, Geneva, Switzerland. </w:t>
      </w:r>
      <w:hyperlink r:id="rId21">
        <w:r>
          <w:rPr>
            <w:rStyle w:val="Hyperlink"/>
          </w:rPr>
          <w:t>https://www.ipcc</w:t>
        </w:r>
        <w:r>
          <w:rPr>
            <w:rStyle w:val="Hyperlink"/>
          </w:rPr>
          <w:t>.ch/assessment-report/ar5/</w:t>
        </w:r>
      </w:hyperlink>
    </w:p>
    <w:p w14:paraId="1C00B2C9" w14:textId="77777777" w:rsidR="00E8421B" w:rsidRDefault="00FE2928">
      <w:pPr>
        <w:pStyle w:val="Bibliography"/>
      </w:pPr>
      <w:bookmarkStart w:id="21" w:name="ref-li_useeior_2022"/>
      <w:bookmarkEnd w:id="20"/>
      <w:r>
        <w:t>Li, Mo, Ingwersen, Wesley, Young, Ben, Vendries, Jorge, Birney, Catherine, 2022. Useeior: An Open-Source R Package for Building and Using US Environmentally-Extended Input-Output Models. Applied</w:t>
      </w:r>
      <w:r>
        <w:t xml:space="preserve"> Sciences 12, 4469. </w:t>
      </w:r>
      <w:hyperlink r:id="rId22">
        <w:r>
          <w:rPr>
            <w:rStyle w:val="Hyperlink"/>
          </w:rPr>
          <w:t>https://doi.org/10.3390/app12094469</w:t>
        </w:r>
      </w:hyperlink>
    </w:p>
    <w:p w14:paraId="61D77CCB" w14:textId="77777777" w:rsidR="00E8421B" w:rsidRDefault="00FE2928">
      <w:pPr>
        <w:pStyle w:val="Bibliography"/>
      </w:pPr>
      <w:bookmarkStart w:id="22" w:name="ref-us_census_bureau_6_2017"/>
      <w:bookmarkEnd w:id="21"/>
      <w:r>
        <w:t xml:space="preserve">U.S. Census Bureau, 2021. 6 digit 2017 NAICS Code File [WWW Document]. </w:t>
      </w:r>
      <w:hyperlink r:id="rId23">
        <w:r>
          <w:rPr>
            <w:rStyle w:val="Hyperlink"/>
          </w:rPr>
          <w:t>https://www.census.gov/naics/2017NAICS/6-digit_2017_Codes.xlsx</w:t>
        </w:r>
      </w:hyperlink>
      <w:r>
        <w:t xml:space="preserve"> (accessed 2.1.2023).</w:t>
      </w:r>
    </w:p>
    <w:p w14:paraId="22DB654B" w14:textId="77777777" w:rsidR="00E8421B" w:rsidRDefault="00FE2928">
      <w:pPr>
        <w:pStyle w:val="Bibliography"/>
      </w:pPr>
      <w:bookmarkStart w:id="23" w:name="ref-epa_us_2024"/>
      <w:bookmarkEnd w:id="22"/>
      <w:r>
        <w:t>U.S. Environmental Protection Agency, 2024. Inventory of U.S. Greenhouse gas emissions and sinks:</w:t>
      </w:r>
      <w:r>
        <w:t xml:space="preserve"> 1990–2022 (No. EPA 430-R-24-004). </w:t>
      </w:r>
      <w:hyperlink r:id="rId24">
        <w:r>
          <w:rPr>
            <w:rStyle w:val="Hyperlink"/>
          </w:rPr>
          <w:t>https://www.epa.gov/ghgemissions/inventory-us-greenhouse-gas-emissions-and-sinks-1990-2022</w:t>
        </w:r>
      </w:hyperlink>
    </w:p>
    <w:p w14:paraId="55C9B726" w14:textId="77777777" w:rsidR="00E8421B" w:rsidRDefault="00FE2928">
      <w:pPr>
        <w:pStyle w:val="Bibliography"/>
      </w:pPr>
      <w:bookmarkStart w:id="24" w:name="ref-usepa_scope_2024"/>
      <w:bookmarkEnd w:id="23"/>
      <w:r>
        <w:t xml:space="preserve">USEPA, 2024. Scope 3 inventory guidance [WWW Document]. </w:t>
      </w:r>
      <w:hyperlink r:id="rId25">
        <w:r>
          <w:rPr>
            <w:rStyle w:val="Hyperlink"/>
          </w:rPr>
          <w:t>https://www.epa.gov/climateleadership/scope-3-inventory-guidance</w:t>
        </w:r>
      </w:hyperlink>
      <w:r>
        <w:t xml:space="preserve"> (accessed 7.1.2024).</w:t>
      </w:r>
    </w:p>
    <w:p w14:paraId="368422E4" w14:textId="77777777" w:rsidR="00E8421B" w:rsidRDefault="00FE2928">
      <w:pPr>
        <w:pStyle w:val="Bibliography"/>
      </w:pPr>
      <w:bookmarkStart w:id="25" w:name="ref-wri_technical_2013"/>
      <w:bookmarkEnd w:id="24"/>
      <w:r>
        <w:t xml:space="preserve">WRI, WBCSD, 2013. Technical Guidance for Calculating scope 3 Emissions. </w:t>
      </w:r>
      <w:hyperlink r:id="rId26">
        <w:r>
          <w:rPr>
            <w:rStyle w:val="Hyperlink"/>
          </w:rPr>
          <w:t>https://ghgprotocol.org/sites/default/fi</w:t>
        </w:r>
        <w:r>
          <w:rPr>
            <w:rStyle w:val="Hyperlink"/>
          </w:rPr>
          <w:t>les/standards/Scope3_Calculation_Guidance_0.pdf</w:t>
        </w:r>
      </w:hyperlink>
    </w:p>
    <w:p w14:paraId="063B68DC" w14:textId="77777777" w:rsidR="00E8421B" w:rsidRDefault="00FE2928">
      <w:pPr>
        <w:pStyle w:val="Bibliography"/>
      </w:pPr>
      <w:bookmarkStart w:id="26" w:name="ref-young_description_2024"/>
      <w:bookmarkEnd w:id="25"/>
      <w:r>
        <w:t xml:space="preserve">Young, B., Birney, C., Ingwersen, W.W., 2024. Dataset of 2012-2020 U.S. National- and State-Level Greenhouse Gas Emissions by Sector. Data in Brief 53, 110173. </w:t>
      </w:r>
      <w:hyperlink r:id="rId27">
        <w:r>
          <w:rPr>
            <w:rStyle w:val="Hyperlink"/>
          </w:rPr>
          <w:t>https://doi.org/10.1016/j.dib.2024.110173</w:t>
        </w:r>
      </w:hyperlink>
    </w:p>
    <w:p w14:paraId="30328635" w14:textId="77777777" w:rsidR="00E8421B" w:rsidRDefault="00FE2928">
      <w:pPr>
        <w:pStyle w:val="Bibliography"/>
      </w:pPr>
      <w:bookmarkStart w:id="27" w:name="ref-ingwersen_ipcc_2023"/>
      <w:bookmarkEnd w:id="26"/>
      <w:r>
        <w:t xml:space="preserve">Young, B., Cashman, S., Ingwersen, W., 2023. IPCC GWPs for FEDEFL v1. </w:t>
      </w:r>
      <w:hyperlink r:id="rId28">
        <w:r>
          <w:rPr>
            <w:rStyle w:val="Hyperlink"/>
          </w:rPr>
          <w:t>https://doi.</w:t>
        </w:r>
        <w:r>
          <w:rPr>
            <w:rStyle w:val="Hyperlink"/>
          </w:rPr>
          <w:t>org/10.23719/1529821</w:t>
        </w:r>
      </w:hyperlink>
      <w:bookmarkEnd w:id="8"/>
      <w:bookmarkEnd w:id="10"/>
      <w:bookmarkEnd w:id="27"/>
    </w:p>
    <w:sectPr w:rsidR="00E842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8E50" w14:textId="77777777" w:rsidR="00BE50C9" w:rsidRDefault="00BE50C9">
      <w:pPr>
        <w:spacing w:after="0"/>
      </w:pPr>
      <w:r>
        <w:separator/>
      </w:r>
    </w:p>
  </w:endnote>
  <w:endnote w:type="continuationSeparator" w:id="0">
    <w:p w14:paraId="16189DF9" w14:textId="77777777" w:rsidR="00BE50C9" w:rsidRDefault="00BE5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FB70" w14:textId="77777777" w:rsidR="00BE50C9" w:rsidRDefault="00BE50C9">
      <w:r>
        <w:separator/>
      </w:r>
    </w:p>
  </w:footnote>
  <w:footnote w:type="continuationSeparator" w:id="0">
    <w:p w14:paraId="0A409553" w14:textId="77777777" w:rsidR="00BE50C9" w:rsidRDefault="00BE50C9">
      <w:r>
        <w:continuationSeparator/>
      </w:r>
    </w:p>
  </w:footnote>
  <w:footnote w:id="1">
    <w:p w14:paraId="69679915" w14:textId="77777777" w:rsidR="00E8421B" w:rsidRDefault="00FE2928">
      <w:pPr>
        <w:pStyle w:val="FootnoteText"/>
      </w:pPr>
      <w:r>
        <w:rPr>
          <w:rStyle w:val="FootnoteReference"/>
        </w:rPr>
        <w:footnoteRef/>
      </w:r>
      <w:r>
        <w:t xml:space="preserve"> Center for Environmental Solutions and Emergency Response, USEPA Office of Research and Development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326C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610C8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3"/>
    <w:multiLevelType w:val="multilevel"/>
    <w:tmpl w:val="671612D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2044668474">
    <w:abstractNumId w:val="0"/>
  </w:num>
  <w:num w:numId="2" w16cid:durableId="241067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55004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86295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421B"/>
    <w:rsid w:val="001F00A0"/>
    <w:rsid w:val="006A66D7"/>
    <w:rsid w:val="008B1BD1"/>
    <w:rsid w:val="008C05E4"/>
    <w:rsid w:val="00BE50C9"/>
    <w:rsid w:val="00E8421B"/>
    <w:rsid w:val="00FE23A0"/>
    <w:rsid w:val="00FE29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80AE"/>
  <w15:docId w15:val="{81B3D4FC-9E1B-494C-A16D-B96CDEF0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useeior" TargetMode="External"/><Relationship Id="rId13" Type="http://schemas.openxmlformats.org/officeDocument/2006/relationships/hyperlink" Target="https://doi.org/10.23719/1528686" TargetMode="External"/><Relationship Id="rId18" Type="http://schemas.openxmlformats.org/officeDocument/2006/relationships/hyperlink" Target="https://doi.org/10.1038/s41597-022-01293-7" TargetMode="External"/><Relationship Id="rId26" Type="http://schemas.openxmlformats.org/officeDocument/2006/relationships/hyperlink" Target="https://ghgprotocol.org/sites/default/files/standards/Scope3_Calculation_Guidance_0.pdf" TargetMode="External"/><Relationship Id="rId3" Type="http://schemas.openxmlformats.org/officeDocument/2006/relationships/settings" Target="settings.xml"/><Relationship Id="rId21" Type="http://schemas.openxmlformats.org/officeDocument/2006/relationships/hyperlink" Target="https://www.ipcc.ch/assessment-report/ar5/" TargetMode="External"/><Relationship Id="rId7" Type="http://schemas.openxmlformats.org/officeDocument/2006/relationships/hyperlink" Target="https://github.com/usepa/supply-chain-factors" TargetMode="External"/><Relationship Id="rId12" Type="http://schemas.openxmlformats.org/officeDocument/2006/relationships/hyperlink" Target="https://www.bea.gov/products/industry-economic-accounts/underlying-estimates" TargetMode="External"/><Relationship Id="rId17" Type="http://schemas.openxmlformats.org/officeDocument/2006/relationships/hyperlink" Target="https://cfpub.epa.gov/si/si_public_record_report.cfm?Lab=CESER&amp;dirEntryId=349324" TargetMode="External"/><Relationship Id="rId25" Type="http://schemas.openxmlformats.org/officeDocument/2006/relationships/hyperlink" Target="https://www.epa.gov/climateleadership/scope-3-inventory-guidance" TargetMode="External"/><Relationship Id="rId2" Type="http://schemas.openxmlformats.org/officeDocument/2006/relationships/styles" Target="styles.xml"/><Relationship Id="rId16" Type="http://schemas.openxmlformats.org/officeDocument/2006/relationships/hyperlink" Target="https://doi.org/10.23719/1517796" TargetMode="External"/><Relationship Id="rId20" Type="http://schemas.openxmlformats.org/officeDocument/2006/relationships/hyperlink" Target="https://doi.org/10.23719/152474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a.gov/information-updates-national-economic-accounts" TargetMode="External"/><Relationship Id="rId24" Type="http://schemas.openxmlformats.org/officeDocument/2006/relationships/hyperlink" Target="https://www.epa.gov/ghgemissions/inventory-us-greenhouse-gas-emissions-and-sinks-1990-2022" TargetMode="External"/><Relationship Id="rId5" Type="http://schemas.openxmlformats.org/officeDocument/2006/relationships/footnotes" Target="footnotes.xml"/><Relationship Id="rId15" Type="http://schemas.openxmlformats.org/officeDocument/2006/relationships/hyperlink" Target="https://cfpub.epa.gov/si/si_public_record_report.cfm?dirEntryId=354822" TargetMode="External"/><Relationship Id="rId23" Type="http://schemas.openxmlformats.org/officeDocument/2006/relationships/hyperlink" Target="https://www.census.gov/naics/2017NAICS/6-digit_2017_Codes.xlsx" TargetMode="External"/><Relationship Id="rId28" Type="http://schemas.openxmlformats.org/officeDocument/2006/relationships/hyperlink" Target="https://doi.org/10.23719/1529821" TargetMode="External"/><Relationship Id="rId10" Type="http://schemas.openxmlformats.org/officeDocument/2006/relationships/hyperlink" Target="https://github.com/USEPA/LCIAformatter" TargetMode="External"/><Relationship Id="rId19" Type="http://schemas.openxmlformats.org/officeDocument/2006/relationships/hyperlink" Target="https://doi.org/10.23719/1524524" TargetMode="External"/><Relationship Id="rId4" Type="http://schemas.openxmlformats.org/officeDocument/2006/relationships/webSettings" Target="webSettings.xml"/><Relationship Id="rId9" Type="http://schemas.openxmlformats.org/officeDocument/2006/relationships/hyperlink" Target="https://github.com/USEPA/flowsa" TargetMode="External"/><Relationship Id="rId14" Type="http://schemas.openxmlformats.org/officeDocument/2006/relationships/hyperlink" Target="https://doi.org/10.5281/zenodo.6370618" TargetMode="External"/><Relationship Id="rId22" Type="http://schemas.openxmlformats.org/officeDocument/2006/relationships/hyperlink" Target="https://doi.org/10.3390/app12094469" TargetMode="External"/><Relationship Id="rId27" Type="http://schemas.openxmlformats.org/officeDocument/2006/relationships/hyperlink" Target="https://doi.org/10.1016/j.dib.2024.1101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3664</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About the Supply Chain Greenhouse Gas Emission Factors v1.3 NAICS-6 Datasets</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Supply Chain Greenhouse Gas Emission Factors v1.3 NAICS-6 Datasets</dc:title>
  <dc:creator>Wesley Ingwersen</dc:creator>
  <cp:keywords/>
  <cp:lastModifiedBy>Ingwersen, Wesley (he/him/his)</cp:lastModifiedBy>
  <cp:revision>6</cp:revision>
  <dcterms:created xsi:type="dcterms:W3CDTF">2024-07-05T20:41:00Z</dcterms:created>
  <dcterms:modified xsi:type="dcterms:W3CDTF">2024-07-05T21:25:00Z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../../USEEIO_team/USEEIO.bib</vt:lpwstr>
  </property>
  <property fmtid="{D5CDD505-2E9C-101B-9397-08002B2CF9AE}" pid="3" name="csl">
    <vt:lpwstr>elsevier-harvard_url.csl</vt:lpwstr>
  </property>
  <property fmtid="{D5CDD505-2E9C-101B-9397-08002B2CF9AE}" pid="4" name="date">
    <vt:lpwstr>JUly 5, 2024</vt:lpwstr>
  </property>
  <property fmtid="{D5CDD505-2E9C-101B-9397-08002B2CF9AE}" pid="5" name="output">
    <vt:lpwstr/>
  </property>
</Properties>
</file>