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pPr>
              <w:spacing w:before="0" w:after="20" w:line="240" w:lineRule="auto"/>
            </w:pPr>
            <w:r>
              <w:rPr>
                <w:rFonts w:ascii="Arial" w:hAnsi="Arial"/>
                <w:sz w:val="18"/>
              </w:rPr>
              <w:t>27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before="0" w:after="20" w:line="240" w:lineRule="auto"/>
            </w:pPr>
            <w:r>
              <w:rPr>
                <w:rFonts w:ascii="Arial" w:hAnsi="Arial"/>
                <w:sz w:val="18"/>
              </w:rPr>
              <w:t>Not provided by user</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before="0" w:after="20" w:line="240" w:lineRule="auto"/>
            </w:pPr>
            <w:r>
              <w:rPr>
                <w:rFonts w:ascii="Arial" w:hAnsi="Arial"/>
                <w:sz w:val="18"/>
              </w:rPr>
              <w:t>Global Olympic Sports Performance Analysis</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jc w:val="center"/>
      </w:pPr>
      <w:r>
        <w:drawing>
          <wp:inline>
            <wp:extent cx="5760720" cy="3240405"/>
            <wp:docPr id="16" name="Picture 16"/>
            <wp:cNvGraphicFramePr>
              <a:graphicFrameLocks noChangeAspect="1"/>
            </wp:cNvGraphicFramePr>
            <a:graphic>
              <a:graphicData uri="http://schemas.openxmlformats.org/drawingml/2006/picture">
                <pic:pic>
                  <pic:nvPicPr>
                    <pic:cNvPr id="0" name="olympic_data_flow.png"/>
                    <pic:cNvPicPr/>
                  </pic:nvPicPr>
                  <pic:blipFill>
                    <a:blip r:embed="rId10"/>
                    <a:stretch>
                      <a:fillRect/>
                    </a:stretch>
                  </pic:blipFill>
                  <pic:spPr>
                    <a:xfrm>
                      <a:off x="0" y="0"/>
                      <a:ext cx="5760720" cy="3240405"/>
                    </a:xfrm>
                    <a:prstGeom prst="rect"/>
                  </pic:spPr>
                </pic:pic>
              </a:graphicData>
            </a:graphic>
          </wp:inline>
        </w:drawing>
      </w:r>
    </w:p>
    <w:p>
      <w:pPr>
        <w:spacing w:after="160"/>
        <w:jc w:val="center"/>
      </w:pPr>
      <w:r>
        <w:rPr>
          <w:sz w:val="16"/>
        </w:rPr>
        <w:t>Figure 1. Data flow from packaged extracts through validation and Tableau analysis to dashboards.</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Country comparison</w:t>
            </w:r>
          </w:p>
        </w:tc>
        <w:tc>
          <w:tcPr>
            <w:vAlign w:val="center"/>
          </w:tcPr>
          <w:p>
            <w:pPr>
              <w:spacing w:before="0" w:after="20" w:line="240" w:lineRule="auto"/>
            </w:pPr>
            <w:r>
              <w:rPr>
                <w:rFonts w:ascii="Arial" w:hAnsi="Arial"/>
                <w:sz w:val="13"/>
              </w:rPr>
              <w:t>USN-1</w:t>
            </w:r>
          </w:p>
        </w:tc>
        <w:tc>
          <w:tcPr>
            <w:vAlign w:val="center"/>
          </w:tcPr>
          <w:p>
            <w:pPr>
              <w:spacing w:before="0" w:after="20" w:line="240" w:lineRule="auto"/>
            </w:pPr>
            <w:r>
              <w:rPr>
                <w:rFonts w:ascii="Arial" w:hAnsi="Arial"/>
                <w:sz w:val="13"/>
              </w:rPr>
              <w:t>As an analyst, I can compare countries by total medals and overall rank.</w:t>
            </w:r>
          </w:p>
        </w:tc>
        <w:tc>
          <w:tcPr>
            <w:vAlign w:val="center"/>
          </w:tcPr>
          <w:p>
            <w:pPr>
              <w:spacing w:before="0" w:after="20" w:line="240" w:lineRule="auto"/>
            </w:pPr>
            <w:r>
              <w:rPr>
                <w:rFonts w:ascii="Arial" w:hAnsi="Arial"/>
                <w:sz w:val="13"/>
              </w:rPr>
              <w:t>Country and total-medal measures are visible with clear sort/rank context.</w:t>
            </w:r>
          </w:p>
        </w:tc>
        <w:tc>
          <w:tcPr>
            <w:vAlign w:val="center"/>
          </w:tcPr>
          <w:p>
            <w:pPr>
              <w:spacing w:before="0" w:after="20" w:line="240" w:lineRule="auto"/>
            </w:pPr>
            <w:r>
              <w:rPr>
                <w:rFonts w:ascii="Arial" w:hAnsi="Arial"/>
                <w:sz w:val="13"/>
              </w:rPr>
              <w:t>High</w:t>
            </w:r>
          </w:p>
        </w:tc>
        <w:tc>
          <w:tcPr>
            <w:vAlign w:val="center"/>
          </w:tcPr>
          <w:p>
            <w:pPr>
              <w:spacing w:before="0" w:after="20" w:line="240" w:lineRule="auto"/>
            </w:pPr>
            <w:r>
              <w:rPr>
                <w:rFonts w:ascii="Arial" w:hAnsi="Arial"/>
                <w:sz w:val="13"/>
              </w:rPr>
              <w:t>Sprint 1</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Trend analysis</w:t>
            </w:r>
          </w:p>
        </w:tc>
        <w:tc>
          <w:tcPr>
            <w:vAlign w:val="center"/>
          </w:tcPr>
          <w:p>
            <w:pPr>
              <w:spacing w:before="0" w:after="20" w:line="240" w:lineRule="auto"/>
            </w:pPr>
            <w:r>
              <w:rPr>
                <w:rFonts w:ascii="Arial" w:hAnsi="Arial"/>
                <w:sz w:val="13"/>
              </w:rPr>
              <w:t>USN-2</w:t>
            </w:r>
          </w:p>
        </w:tc>
        <w:tc>
          <w:tcPr>
            <w:vAlign w:val="center"/>
          </w:tcPr>
          <w:p>
            <w:pPr>
              <w:spacing w:before="0" w:after="20" w:line="240" w:lineRule="auto"/>
            </w:pPr>
            <w:r>
              <w:rPr>
                <w:rFonts w:ascii="Arial" w:hAnsi="Arial"/>
                <w:sz w:val="13"/>
              </w:rPr>
              <w:t>As an analyst, I can inspect total medals awarded by Olympic year.</w:t>
            </w:r>
          </w:p>
        </w:tc>
        <w:tc>
          <w:tcPr>
            <w:vAlign w:val="center"/>
          </w:tcPr>
          <w:p>
            <w:pPr>
              <w:spacing w:before="0" w:after="20" w:line="240" w:lineRule="auto"/>
            </w:pPr>
            <w:r>
              <w:rPr>
                <w:rFonts w:ascii="Arial" w:hAnsi="Arial"/>
                <w:sz w:val="13"/>
              </w:rPr>
              <w:t>A year-based line chart is labeled and values are aggregated consistently.</w:t>
            </w:r>
          </w:p>
        </w:tc>
        <w:tc>
          <w:tcPr>
            <w:vAlign w:val="center"/>
          </w:tcPr>
          <w:p>
            <w:pPr>
              <w:spacing w:before="0" w:after="20" w:line="240" w:lineRule="auto"/>
            </w:pPr>
            <w:r>
              <w:rPr>
                <w:rFonts w:ascii="Arial" w:hAnsi="Arial"/>
                <w:sz w:val="13"/>
              </w:rPr>
              <w:t>High</w:t>
            </w:r>
          </w:p>
        </w:tc>
        <w:tc>
          <w:tcPr>
            <w:vAlign w:val="center"/>
          </w:tcPr>
          <w:p>
            <w:pPr>
              <w:spacing w:before="0" w:after="20" w:line="240" w:lineRule="auto"/>
            </w:pPr>
            <w:r>
              <w:rPr>
                <w:rFonts w:ascii="Arial" w:hAnsi="Arial"/>
                <w:sz w:val="13"/>
              </w:rPr>
              <w:t>Sprint 1</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Category analysis</w:t>
            </w:r>
          </w:p>
        </w:tc>
        <w:tc>
          <w:tcPr>
            <w:vAlign w:val="center"/>
          </w:tcPr>
          <w:p>
            <w:pPr>
              <w:spacing w:before="0" w:after="20" w:line="240" w:lineRule="auto"/>
            </w:pPr>
            <w:r>
              <w:rPr>
                <w:rFonts w:ascii="Arial" w:hAnsi="Arial"/>
                <w:sz w:val="13"/>
              </w:rPr>
              <w:t>USN-3</w:t>
            </w:r>
          </w:p>
        </w:tc>
        <w:tc>
          <w:tcPr>
            <w:vAlign w:val="center"/>
          </w:tcPr>
          <w:p>
            <w:pPr>
              <w:spacing w:before="0" w:after="20" w:line="240" w:lineRule="auto"/>
            </w:pPr>
            <w:r>
              <w:rPr>
                <w:rFonts w:ascii="Arial" w:hAnsi="Arial"/>
                <w:sz w:val="13"/>
              </w:rPr>
              <w:t>As an analyst, I can compare average medals by sport category.</w:t>
            </w:r>
          </w:p>
        </w:tc>
        <w:tc>
          <w:tcPr>
            <w:vAlign w:val="center"/>
          </w:tcPr>
          <w:p>
            <w:pPr>
              <w:spacing w:before="0" w:after="20" w:line="240" w:lineRule="auto"/>
            </w:pPr>
            <w:r>
              <w:rPr>
                <w:rFonts w:ascii="Arial" w:hAnsi="Arial"/>
                <w:sz w:val="13"/>
              </w:rPr>
              <w:t>Category labels and average measure are shown in the relevant view.</w:t>
            </w:r>
          </w:p>
        </w:tc>
        <w:tc>
          <w:tcPr>
            <w:vAlign w:val="center"/>
          </w:tcPr>
          <w:p>
            <w:pPr>
              <w:spacing w:before="0" w:after="20" w:line="240" w:lineRule="auto"/>
            </w:pPr>
            <w:r>
              <w:rPr>
                <w:rFonts w:ascii="Arial" w:hAnsi="Arial"/>
                <w:sz w:val="13"/>
              </w:rPr>
              <w:t>High</w:t>
            </w:r>
          </w:p>
        </w:tc>
        <w:tc>
          <w:tcPr>
            <w:vAlign w:val="center"/>
          </w:tcPr>
          <w:p>
            <w:pPr>
              <w:spacing w:before="0" w:after="20" w:line="240" w:lineRule="auto"/>
            </w:pPr>
            <w:r>
              <w:rPr>
                <w:rFonts w:ascii="Arial" w:hAnsi="Arial"/>
                <w:sz w:val="13"/>
              </w:rPr>
              <w:t>Sprint 1</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Regional analysis</w:t>
            </w:r>
          </w:p>
        </w:tc>
        <w:tc>
          <w:tcPr>
            <w:vAlign w:val="center"/>
          </w:tcPr>
          <w:p>
            <w:pPr>
              <w:spacing w:before="0" w:after="20" w:line="240" w:lineRule="auto"/>
            </w:pPr>
            <w:r>
              <w:rPr>
                <w:rFonts w:ascii="Arial" w:hAnsi="Arial"/>
                <w:sz w:val="13"/>
              </w:rPr>
              <w:t>USN-4</w:t>
            </w:r>
          </w:p>
        </w:tc>
        <w:tc>
          <w:tcPr>
            <w:vAlign w:val="center"/>
          </w:tcPr>
          <w:p>
            <w:pPr>
              <w:spacing w:before="0" w:after="20" w:line="240" w:lineRule="auto"/>
            </w:pPr>
            <w:r>
              <w:rPr>
                <w:rFonts w:ascii="Arial" w:hAnsi="Arial"/>
                <w:sz w:val="13"/>
              </w:rPr>
              <w:t>As a researcher, I can compare medal efficiency by region.</w:t>
            </w:r>
          </w:p>
        </w:tc>
        <w:tc>
          <w:tcPr>
            <w:vAlign w:val="center"/>
          </w:tcPr>
          <w:p>
            <w:pPr>
              <w:spacing w:before="0" w:after="20" w:line="240" w:lineRule="auto"/>
            </w:pPr>
            <w:r>
              <w:rPr>
                <w:rFonts w:ascii="Arial" w:hAnsi="Arial"/>
                <w:sz w:val="13"/>
              </w:rPr>
              <w:t>Regional aggregation and efficiency definition are visible or documented.</w:t>
            </w:r>
          </w:p>
        </w:tc>
        <w:tc>
          <w:tcPr>
            <w:vAlign w:val="center"/>
          </w:tcPr>
          <w:p>
            <w:pPr>
              <w:spacing w:before="0" w:after="20" w:line="240" w:lineRule="auto"/>
            </w:pPr>
            <w:r>
              <w:rPr>
                <w:rFonts w:ascii="Arial" w:hAnsi="Arial"/>
                <w:sz w:val="13"/>
              </w:rPr>
              <w:t>High</w:t>
            </w:r>
          </w:p>
        </w:tc>
        <w:tc>
          <w:tcPr>
            <w:vAlign w:val="center"/>
          </w:tcPr>
          <w:p>
            <w:pPr>
              <w:spacing w:before="0" w:after="20" w:line="240" w:lineRule="auto"/>
            </w:pPr>
            <w:r>
              <w:rPr>
                <w:rFonts w:ascii="Arial" w:hAnsi="Arial"/>
                <w:sz w:val="13"/>
              </w:rPr>
              <w:t>Sprint 2</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Interactive filters</w:t>
            </w:r>
          </w:p>
        </w:tc>
        <w:tc>
          <w:tcPr>
            <w:vAlign w:val="center"/>
          </w:tcPr>
          <w:p>
            <w:pPr>
              <w:spacing w:before="0" w:after="20" w:line="240" w:lineRule="auto"/>
            </w:pPr>
            <w:r>
              <w:rPr>
                <w:rFonts w:ascii="Arial" w:hAnsi="Arial"/>
                <w:sz w:val="13"/>
              </w:rPr>
              <w:t>USN-5</w:t>
            </w:r>
          </w:p>
        </w:tc>
        <w:tc>
          <w:tcPr>
            <w:vAlign w:val="center"/>
          </w:tcPr>
          <w:p>
            <w:pPr>
              <w:spacing w:before="0" w:after="20" w:line="240" w:lineRule="auto"/>
            </w:pPr>
            <w:r>
              <w:rPr>
                <w:rFonts w:ascii="Arial" w:hAnsi="Arial"/>
                <w:sz w:val="13"/>
              </w:rPr>
              <w:t>As a viewer, I can narrow the country rank range or select host-advantage groups where available.</w:t>
            </w:r>
          </w:p>
        </w:tc>
        <w:tc>
          <w:tcPr>
            <w:vAlign w:val="center"/>
          </w:tcPr>
          <w:p>
            <w:pPr>
              <w:spacing w:before="0" w:after="20" w:line="240" w:lineRule="auto"/>
            </w:pPr>
            <w:r>
              <w:rPr>
                <w:rFonts w:ascii="Arial" w:hAnsi="Arial"/>
                <w:sz w:val="13"/>
              </w:rPr>
              <w:t>Filters update the related views and the selected state is clear.</w:t>
            </w:r>
          </w:p>
        </w:tc>
        <w:tc>
          <w:tcPr>
            <w:vAlign w:val="center"/>
          </w:tcPr>
          <w:p>
            <w:pPr>
              <w:spacing w:before="0" w:after="20" w:line="240" w:lineRule="auto"/>
            </w:pPr>
            <w:r>
              <w:rPr>
                <w:rFonts w:ascii="Arial" w:hAnsi="Arial"/>
                <w:sz w:val="13"/>
              </w:rPr>
              <w:t>Medium</w:t>
            </w:r>
          </w:p>
        </w:tc>
        <w:tc>
          <w:tcPr>
            <w:vAlign w:val="center"/>
          </w:tcPr>
          <w:p>
            <w:pPr>
              <w:spacing w:before="0" w:after="20" w:line="240" w:lineRule="auto"/>
            </w:pPr>
            <w:r>
              <w:rPr>
                <w:rFonts w:ascii="Arial" w:hAnsi="Arial"/>
                <w:sz w:val="13"/>
              </w:rPr>
              <w:t>Sprint 2</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Investment analysis</w:t>
            </w:r>
          </w:p>
        </w:tc>
        <w:tc>
          <w:tcPr>
            <w:vAlign w:val="center"/>
          </w:tcPr>
          <w:p>
            <w:pPr>
              <w:spacing w:before="0" w:after="20" w:line="240" w:lineRule="auto"/>
            </w:pPr>
            <w:r>
              <w:rPr>
                <w:rFonts w:ascii="Arial" w:hAnsi="Arial"/>
                <w:sz w:val="13"/>
              </w:rPr>
              <w:t>USN-6</w:t>
            </w:r>
          </w:p>
        </w:tc>
        <w:tc>
          <w:tcPr>
            <w:vAlign w:val="center"/>
          </w:tcPr>
          <w:p>
            <w:pPr>
              <w:spacing w:before="0" w:after="20" w:line="240" w:lineRule="auto"/>
            </w:pPr>
            <w:r>
              <w:rPr>
                <w:rFonts w:ascii="Arial" w:hAnsi="Arial"/>
                <w:sz w:val="13"/>
              </w:rPr>
              <w:t>As a researcher, I can explore investment score alongside medal output.</w:t>
            </w:r>
          </w:p>
        </w:tc>
        <w:tc>
          <w:tcPr>
            <w:vAlign w:val="center"/>
          </w:tcPr>
          <w:p>
            <w:pPr>
              <w:spacing w:before="0" w:after="20" w:line="240" w:lineRule="auto"/>
            </w:pPr>
            <w:r>
              <w:rPr>
                <w:rFonts w:ascii="Arial" w:hAnsi="Arial"/>
                <w:sz w:val="13"/>
              </w:rPr>
              <w:t>Scatter plot identifies countries and does not imply causation.</w:t>
            </w:r>
          </w:p>
        </w:tc>
        <w:tc>
          <w:tcPr>
            <w:vAlign w:val="center"/>
          </w:tcPr>
          <w:p>
            <w:pPr>
              <w:spacing w:before="0" w:after="20" w:line="240" w:lineRule="auto"/>
            </w:pPr>
            <w:r>
              <w:rPr>
                <w:rFonts w:ascii="Arial" w:hAnsi="Arial"/>
                <w:sz w:val="13"/>
              </w:rPr>
              <w:t>Medium</w:t>
            </w:r>
          </w:p>
        </w:tc>
        <w:tc>
          <w:tcPr>
            <w:vAlign w:val="center"/>
          </w:tcPr>
          <w:p>
            <w:pPr>
              <w:spacing w:before="0" w:after="20" w:line="240" w:lineRule="auto"/>
            </w:pPr>
            <w:r>
              <w:rPr>
                <w:rFonts w:ascii="Arial" w:hAnsi="Arial"/>
                <w:sz w:val="13"/>
              </w:rPr>
              <w:t>Sprint 2</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Regional distribution</w:t>
            </w:r>
          </w:p>
        </w:tc>
        <w:tc>
          <w:tcPr>
            <w:vAlign w:val="center"/>
          </w:tcPr>
          <w:p>
            <w:pPr>
              <w:spacing w:before="0" w:after="20" w:line="240" w:lineRule="auto"/>
            </w:pPr>
            <w:r>
              <w:rPr>
                <w:rFonts w:ascii="Arial" w:hAnsi="Arial"/>
                <w:sz w:val="13"/>
              </w:rPr>
              <w:t>USN-7</w:t>
            </w:r>
          </w:p>
        </w:tc>
        <w:tc>
          <w:tcPr>
            <w:vAlign w:val="center"/>
          </w:tcPr>
          <w:p>
            <w:pPr>
              <w:spacing w:before="0" w:after="20" w:line="240" w:lineRule="auto"/>
            </w:pPr>
            <w:r>
              <w:rPr>
                <w:rFonts w:ascii="Arial" w:hAnsi="Arial"/>
                <w:sz w:val="13"/>
              </w:rPr>
              <w:t>As a viewer, I can see the medal distribution across regions.</w:t>
            </w:r>
          </w:p>
        </w:tc>
        <w:tc>
          <w:tcPr>
            <w:vAlign w:val="center"/>
          </w:tcPr>
          <w:p>
            <w:pPr>
              <w:spacing w:before="0" w:after="20" w:line="240" w:lineRule="auto"/>
            </w:pPr>
            <w:r>
              <w:rPr>
                <w:rFonts w:ascii="Arial" w:hAnsi="Arial"/>
                <w:sz w:val="13"/>
              </w:rPr>
              <w:t>Region categories and totals are represented in a clearly labeled chart.</w:t>
            </w:r>
          </w:p>
        </w:tc>
        <w:tc>
          <w:tcPr>
            <w:vAlign w:val="center"/>
          </w:tcPr>
          <w:p>
            <w:pPr>
              <w:spacing w:before="0" w:after="20" w:line="240" w:lineRule="auto"/>
            </w:pPr>
            <w:r>
              <w:rPr>
                <w:rFonts w:ascii="Arial" w:hAnsi="Arial"/>
                <w:sz w:val="13"/>
              </w:rPr>
              <w:t>Medium</w:t>
            </w:r>
          </w:p>
        </w:tc>
        <w:tc>
          <w:tcPr>
            <w:vAlign w:val="center"/>
          </w:tcPr>
          <w:p>
            <w:pPr>
              <w:spacing w:before="0" w:after="20" w:line="240" w:lineRule="auto"/>
            </w:pPr>
            <w:r>
              <w:rPr>
                <w:rFonts w:ascii="Arial" w:hAnsi="Arial"/>
                <w:sz w:val="13"/>
              </w:rPr>
              <w:t>Sprint 2</w:t>
            </w:r>
          </w:p>
        </w:tc>
      </w:tr>
      <w:tr>
        <w:trPr>
          <w:cantSplit w:val="0"/>
          <w:trHeight w:val="404" w:hRule="atLeast"/>
          <w:tblHeader w:val="0"/>
        </w:trPr>
        <w:tc>
          <w:tcPr>
            <w:vAlign w:val="center"/>
          </w:tcPr>
          <w:p>
            <w:pPr>
              <w:spacing w:before="0" w:after="20" w:line="240" w:lineRule="auto"/>
            </w:pPr>
            <w:r>
              <w:rPr>
                <w:rFonts w:ascii="Arial" w:hAnsi="Arial"/>
                <w:sz w:val="13"/>
              </w:rPr>
              <w:t>Reviewer / Instructor</w:t>
            </w:r>
          </w:p>
        </w:tc>
        <w:tc>
          <w:tcPr>
            <w:vAlign w:val="center"/>
          </w:tcPr>
          <w:p>
            <w:pPr>
              <w:spacing w:before="0" w:after="20" w:line="240" w:lineRule="auto"/>
            </w:pPr>
            <w:r>
              <w:rPr>
                <w:rFonts w:ascii="Arial" w:hAnsi="Arial"/>
                <w:sz w:val="13"/>
              </w:rPr>
              <w:t>Dashboard review</w:t>
            </w:r>
          </w:p>
        </w:tc>
        <w:tc>
          <w:tcPr>
            <w:vAlign w:val="center"/>
          </w:tcPr>
          <w:p>
            <w:pPr>
              <w:spacing w:before="0" w:after="20" w:line="240" w:lineRule="auto"/>
            </w:pPr>
            <w:r>
              <w:rPr>
                <w:rFonts w:ascii="Arial" w:hAnsi="Arial"/>
                <w:sz w:val="13"/>
              </w:rPr>
              <w:t>USN-8</w:t>
            </w:r>
          </w:p>
        </w:tc>
        <w:tc>
          <w:tcPr>
            <w:vAlign w:val="center"/>
          </w:tcPr>
          <w:p>
            <w:pPr>
              <w:spacing w:before="0" w:after="20" w:line="240" w:lineRule="auto"/>
            </w:pPr>
            <w:r>
              <w:rPr>
                <w:rFonts w:ascii="Arial" w:hAnsi="Arial"/>
                <w:sz w:val="13"/>
              </w:rPr>
              <w:t>As a reviewer, I can inspect both dashboards and compare views.</w:t>
            </w:r>
          </w:p>
        </w:tc>
        <w:tc>
          <w:tcPr>
            <w:vAlign w:val="center"/>
          </w:tcPr>
          <w:p>
            <w:pPr>
              <w:spacing w:before="0" w:after="20" w:line="240" w:lineRule="auto"/>
            </w:pPr>
            <w:r>
              <w:rPr>
                <w:rFonts w:ascii="Arial" w:hAnsi="Arial"/>
                <w:sz w:val="13"/>
              </w:rPr>
              <w:t>Two dashboard tabs are present and each view has a descriptive title.</w:t>
            </w:r>
          </w:p>
        </w:tc>
        <w:tc>
          <w:tcPr>
            <w:vAlign w:val="center"/>
          </w:tcPr>
          <w:p>
            <w:pPr>
              <w:spacing w:before="0" w:after="20" w:line="240" w:lineRule="auto"/>
            </w:pPr>
            <w:r>
              <w:rPr>
                <w:rFonts w:ascii="Arial" w:hAnsi="Arial"/>
                <w:sz w:val="13"/>
              </w:rPr>
              <w:t>High</w:t>
            </w:r>
          </w:p>
        </w:tc>
        <w:tc>
          <w:tcPr>
            <w:vAlign w:val="center"/>
          </w:tcPr>
          <w:p>
            <w:pPr>
              <w:spacing w:before="0" w:after="20" w:line="240" w:lineRule="auto"/>
            </w:pPr>
            <w:r>
              <w:rPr>
                <w:rFonts w:ascii="Arial" w:hAnsi="Arial"/>
                <w:sz w:val="13"/>
              </w:rPr>
              <w:t>Sprint 3</w:t>
            </w:r>
          </w:p>
        </w:tc>
      </w:tr>
      <w:tr>
        <w:trPr>
          <w:cantSplit w:val="0"/>
          <w:trHeight w:val="388" w:hRule="atLeast"/>
          <w:tblHeader w:val="0"/>
        </w:trPr>
        <w:tc>
          <w:tcPr>
            <w:vAlign w:val="center"/>
          </w:tcPr>
          <w:p>
            <w:pPr>
              <w:spacing w:before="0" w:after="20" w:line="240" w:lineRule="auto"/>
            </w:pPr>
            <w:r>
              <w:rPr>
                <w:rFonts w:ascii="Arial" w:hAnsi="Arial"/>
                <w:sz w:val="13"/>
              </w:rPr>
              <w:t>Reviewer / Instructor</w:t>
            </w:r>
          </w:p>
        </w:tc>
        <w:tc>
          <w:tcPr>
            <w:vAlign w:val="center"/>
          </w:tcPr>
          <w:p>
            <w:pPr>
              <w:spacing w:before="0" w:after="20" w:line="240" w:lineRule="auto"/>
            </w:pPr>
            <w:r>
              <w:rPr>
                <w:rFonts w:ascii="Arial" w:hAnsi="Arial"/>
                <w:sz w:val="13"/>
              </w:rPr>
              <w:t>Evidence package</w:t>
            </w:r>
          </w:p>
        </w:tc>
        <w:tc>
          <w:tcPr>
            <w:vAlign w:val="center"/>
          </w:tcPr>
          <w:p>
            <w:pPr>
              <w:spacing w:before="0" w:after="20" w:line="240" w:lineRule="auto"/>
            </w:pPr>
            <w:r>
              <w:rPr>
                <w:rFonts w:ascii="Arial" w:hAnsi="Arial"/>
                <w:sz w:val="13"/>
              </w:rPr>
              <w:t>USN-9</w:t>
            </w:r>
          </w:p>
        </w:tc>
        <w:tc>
          <w:tcPr>
            <w:vAlign w:val="center"/>
          </w:tcPr>
          <w:p>
            <w:pPr>
              <w:spacing w:before="0" w:after="20" w:line="240" w:lineRule="auto"/>
            </w:pPr>
            <w:r>
              <w:rPr>
                <w:rFonts w:ascii="Arial" w:hAnsi="Arial"/>
                <w:sz w:val="13"/>
              </w:rPr>
              <w:t>As a reviewer, I can open the workbook and review the report/evidence files.</w:t>
            </w:r>
          </w:p>
        </w:tc>
        <w:tc>
          <w:tcPr>
            <w:vAlign w:val="center"/>
          </w:tcPr>
          <w:p>
            <w:pPr>
              <w:spacing w:before="0" w:after="20" w:line="240" w:lineRule="auto"/>
            </w:pPr>
            <w:r>
              <w:rPr>
                <w:rFonts w:ascii="Arial" w:hAnsi="Arial"/>
                <w:sz w:val="13"/>
              </w:rPr>
              <w:t>TWBX and supporting files are packaged with setup and limitation notes.</w:t>
            </w:r>
          </w:p>
        </w:tc>
        <w:tc>
          <w:tcPr>
            <w:vAlign w:val="center"/>
          </w:tcPr>
          <w:p>
            <w:pPr>
              <w:spacing w:before="0" w:after="20" w:line="240" w:lineRule="auto"/>
            </w:pPr>
            <w:r>
              <w:rPr>
                <w:rFonts w:ascii="Arial" w:hAnsi="Arial"/>
                <w:sz w:val="13"/>
              </w:rPr>
              <w:t>Medium</w:t>
            </w:r>
          </w:p>
        </w:tc>
        <w:tc>
          <w:tcPr>
            <w:vAlign w:val="center"/>
          </w:tcPr>
          <w:p>
            <w:pPr>
              <w:spacing w:before="0" w:after="20" w:line="240" w:lineRule="auto"/>
            </w:pPr>
            <w:r>
              <w:rPr>
                <w:rFonts w:ascii="Arial" w:hAnsi="Arial"/>
                <w:sz w:val="13"/>
              </w:rPr>
              <w:t>Sprint 3</w:t>
            </w:r>
          </w:p>
        </w:tc>
      </w:tr>
      <w:tr>
        <w:trPr>
          <w:cantSplit w:val="0"/>
          <w:trHeight w:val="404" w:hRule="atLeast"/>
          <w:tblHeader w:val="0"/>
        </w:trPr>
        <w:tc>
          <w:tcPr>
            <w:vAlign w:val="center"/>
          </w:tcPr>
          <w:p>
            <w:pPr>
              <w:spacing w:before="0" w:after="20" w:line="240" w:lineRule="auto"/>
            </w:pPr>
            <w:r>
              <w:rPr>
                <w:rFonts w:ascii="Arial" w:hAnsi="Arial"/>
                <w:sz w:val="13"/>
              </w:rPr>
              <w:t>Data steward</w:t>
            </w:r>
          </w:p>
        </w:tc>
        <w:tc>
          <w:tcPr>
            <w:vAlign w:val="center"/>
          </w:tcPr>
          <w:p>
            <w:pPr>
              <w:spacing w:before="0" w:after="20" w:line="240" w:lineRule="auto"/>
            </w:pPr>
            <w:r>
              <w:rPr>
                <w:rFonts w:ascii="Arial" w:hAnsi="Arial"/>
                <w:sz w:val="13"/>
              </w:rPr>
              <w:t>Data-quality review</w:t>
            </w:r>
          </w:p>
        </w:tc>
        <w:tc>
          <w:tcPr>
            <w:vAlign w:val="center"/>
          </w:tcPr>
          <w:p>
            <w:pPr>
              <w:spacing w:before="0" w:after="20" w:line="240" w:lineRule="auto"/>
            </w:pPr>
            <w:r>
              <w:rPr>
                <w:rFonts w:ascii="Arial" w:hAnsi="Arial"/>
                <w:sz w:val="13"/>
              </w:rPr>
              <w:t>USN-10</w:t>
            </w:r>
          </w:p>
        </w:tc>
        <w:tc>
          <w:tcPr>
            <w:vAlign w:val="center"/>
          </w:tcPr>
          <w:p>
            <w:pPr>
              <w:spacing w:before="0" w:after="20" w:line="240" w:lineRule="auto"/>
            </w:pPr>
            <w:r>
              <w:rPr>
                <w:rFonts w:ascii="Arial" w:hAnsi="Arial"/>
                <w:sz w:val="13"/>
              </w:rPr>
              <w:t>As a data steward, I can review source tables and identify missing or duplicate values.</w:t>
            </w:r>
          </w:p>
        </w:tc>
        <w:tc>
          <w:tcPr>
            <w:vAlign w:val="center"/>
          </w:tcPr>
          <w:p>
            <w:pPr>
              <w:spacing w:before="0" w:after="20" w:line="240" w:lineRule="auto"/>
            </w:pPr>
            <w:r>
              <w:rPr>
                <w:rFonts w:ascii="Arial" w:hAnsi="Arial"/>
                <w:sz w:val="13"/>
              </w:rPr>
              <w:t>A data-quality checklist and any outstanding checks are documented.</w:t>
            </w:r>
          </w:p>
        </w:tc>
        <w:tc>
          <w:tcPr>
            <w:vAlign w:val="center"/>
          </w:tcPr>
          <w:p>
            <w:pPr>
              <w:spacing w:before="0" w:after="20" w:line="240" w:lineRule="auto"/>
            </w:pPr>
            <w:r>
              <w:rPr>
                <w:rFonts w:ascii="Arial" w:hAnsi="Arial"/>
                <w:sz w:val="13"/>
              </w:rPr>
              <w:t>Medium</w:t>
            </w:r>
          </w:p>
        </w:tc>
        <w:tc>
          <w:tcPr>
            <w:vAlign w:val="center"/>
          </w:tcPr>
          <w:p>
            <w:pPr>
              <w:spacing w:before="0" w:after="20" w:line="240" w:lineRule="auto"/>
            </w:pPr>
            <w:r>
              <w:rPr>
                <w:rFonts w:ascii="Arial" w:hAnsi="Arial"/>
                <w:sz w:val="13"/>
              </w:rPr>
              <w:t>Sprint 3</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Interpretation</w:t>
            </w:r>
          </w:p>
        </w:tc>
        <w:tc>
          <w:tcPr>
            <w:vAlign w:val="center"/>
          </w:tcPr>
          <w:p>
            <w:pPr>
              <w:spacing w:before="0" w:after="20" w:line="240" w:lineRule="auto"/>
            </w:pPr>
            <w:r>
              <w:rPr>
                <w:rFonts w:ascii="Arial" w:hAnsi="Arial"/>
                <w:sz w:val="13"/>
              </w:rPr>
              <w:t>USN-11</w:t>
            </w:r>
          </w:p>
        </w:tc>
        <w:tc>
          <w:tcPr>
            <w:vAlign w:val="center"/>
          </w:tcPr>
          <w:p>
            <w:pPr>
              <w:spacing w:before="0" w:after="20" w:line="240" w:lineRule="auto"/>
            </w:pPr>
            <w:r>
              <w:rPr>
                <w:rFonts w:ascii="Arial" w:hAnsi="Arial"/>
                <w:sz w:val="13"/>
              </w:rPr>
              <w:t>As a viewer, I can read definitions and avoid unsupported cause-and-effect claims.</w:t>
            </w:r>
          </w:p>
        </w:tc>
        <w:tc>
          <w:tcPr>
            <w:vAlign w:val="center"/>
          </w:tcPr>
          <w:p>
            <w:pPr>
              <w:spacing w:before="0" w:after="20" w:line="240" w:lineRule="auto"/>
            </w:pPr>
            <w:r>
              <w:rPr>
                <w:rFonts w:ascii="Arial" w:hAnsi="Arial"/>
                <w:sz w:val="13"/>
              </w:rPr>
              <w:t>Report includes metric caveats and avoids claims not supported by the extracts.</w:t>
            </w:r>
          </w:p>
        </w:tc>
        <w:tc>
          <w:tcPr>
            <w:vAlign w:val="center"/>
          </w:tcPr>
          <w:p>
            <w:pPr>
              <w:spacing w:before="0" w:after="20" w:line="240" w:lineRule="auto"/>
            </w:pPr>
            <w:r>
              <w:rPr>
                <w:rFonts w:ascii="Arial" w:hAnsi="Arial"/>
                <w:sz w:val="13"/>
              </w:rPr>
              <w:t>High</w:t>
            </w:r>
          </w:p>
        </w:tc>
        <w:tc>
          <w:tcPr>
            <w:vAlign w:val="center"/>
          </w:tcPr>
          <w:p>
            <w:pPr>
              <w:spacing w:before="0" w:after="20" w:line="240" w:lineRule="auto"/>
            </w:pPr>
            <w:r>
              <w:rPr>
                <w:rFonts w:ascii="Arial" w:hAnsi="Arial"/>
                <w:sz w:val="13"/>
              </w:rPr>
              <w:t>Sprint 3</w:t>
            </w:r>
          </w:p>
        </w:tc>
      </w:tr>
      <w:tr>
        <w:trPr>
          <w:cantSplit w:val="0"/>
          <w:trHeight w:val="404" w:hRule="atLeast"/>
          <w:tblHeader w:val="0"/>
        </w:trPr>
        <w:tc>
          <w:tcPr>
            <w:vAlign w:val="center"/>
          </w:tcPr>
          <w:p>
            <w:pPr>
              <w:spacing w:before="0" w:after="20" w:line="240" w:lineRule="auto"/>
            </w:pPr>
            <w:r>
              <w:rPr>
                <w:rFonts w:ascii="Arial" w:hAnsi="Arial"/>
                <w:sz w:val="13"/>
              </w:rPr>
              <w:t>Project owner</w:t>
            </w:r>
          </w:p>
        </w:tc>
        <w:tc>
          <w:tcPr>
            <w:vAlign w:val="center"/>
          </w:tcPr>
          <w:p>
            <w:pPr>
              <w:spacing w:before="0" w:after="20" w:line="240" w:lineRule="auto"/>
            </w:pPr>
            <w:r>
              <w:rPr>
                <w:rFonts w:ascii="Arial" w:hAnsi="Arial"/>
                <w:sz w:val="13"/>
              </w:rPr>
              <w:t>Publishing</w:t>
            </w:r>
          </w:p>
        </w:tc>
        <w:tc>
          <w:tcPr>
            <w:vAlign w:val="center"/>
          </w:tcPr>
          <w:p>
            <w:pPr>
              <w:spacing w:before="0" w:after="20" w:line="240" w:lineRule="auto"/>
            </w:pPr>
            <w:r>
              <w:rPr>
                <w:rFonts w:ascii="Arial" w:hAnsi="Arial"/>
                <w:sz w:val="13"/>
              </w:rPr>
              <w:t>USN-12</w:t>
            </w:r>
          </w:p>
        </w:tc>
        <w:tc>
          <w:tcPr>
            <w:vAlign w:val="center"/>
          </w:tcPr>
          <w:p>
            <w:pPr>
              <w:spacing w:before="0" w:after="20" w:line="240" w:lineRule="auto"/>
            </w:pPr>
            <w:r>
              <w:rPr>
                <w:rFonts w:ascii="Arial" w:hAnsi="Arial"/>
                <w:sz w:val="13"/>
              </w:rPr>
              <w:t>As the project owner, I can prepare the workbook for Tableau Public sharing.</w:t>
            </w:r>
          </w:p>
        </w:tc>
        <w:tc>
          <w:tcPr>
            <w:vAlign w:val="center"/>
          </w:tcPr>
          <w:p>
            <w:pPr>
              <w:spacing w:before="0" w:after="20" w:line="240" w:lineRule="auto"/>
            </w:pPr>
            <w:r>
              <w:rPr>
                <w:rFonts w:ascii="Arial" w:hAnsi="Arial"/>
                <w:sz w:val="13"/>
              </w:rPr>
              <w:t>Workbook opens locally and source/publication permissions are checked before sharing.</w:t>
            </w:r>
          </w:p>
        </w:tc>
        <w:tc>
          <w:tcPr>
            <w:vAlign w:val="center"/>
          </w:tcPr>
          <w:p>
            <w:pPr>
              <w:spacing w:before="0" w:after="20" w:line="240" w:lineRule="auto"/>
            </w:pPr>
            <w:r>
              <w:rPr>
                <w:rFonts w:ascii="Arial" w:hAnsi="Arial"/>
                <w:sz w:val="13"/>
              </w:rPr>
              <w:t>Low</w:t>
            </w:r>
          </w:p>
        </w:tc>
        <w:tc>
          <w:tcPr>
            <w:vAlign w:val="center"/>
          </w:tcPr>
          <w:p>
            <w:pPr>
              <w:spacing w:before="0" w:after="20" w:line="240" w:lineRule="auto"/>
            </w:pPr>
            <w:r>
              <w:rPr>
                <w:rFonts w:ascii="Arial" w:hAnsi="Arial"/>
                <w:sz w:val="13"/>
              </w:rPr>
              <w:t>Sprint 4</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p>
      <w:pPr>
        <w:spacing w:after="80"/>
      </w:pPr>
      <w:r>
        <w:rPr>
          <w:sz w:val="16"/>
        </w:rPr>
        <w:t>Implementation note: The supplied Tableau workbook proves the dashboard layer and contains four packaged Hyper extracts. Any upstream raw-data ingestion, Snowflake loading, and row-level quality checks must be verified separately because no executed database log was included.</w:t>
      </w:r>
    </w:p>
    <w:sectPr>
      <w:headerReference r:id="rId9" w:type="default"/>
      <w:footerReference w:type="default" r:id="rId11"/>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Somesh Chelani</dc:creator>
  <cp:lastModifiedBy>Somesh Chelani</cp:lastModifiedBy>
</cp:coreProperties>
</file>