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Access &amp; Integration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Read the packaged Hyper extracts for Athletes, Country Rankings, Games Summary and Medal Results; preserve field types and source notes.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Processing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Validate nulls, duplicates, labels, numeric types and year values; document known source limitations before interpreting results.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Business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Aggregate total medals, medals awarded by year, average medals per athlete/category, average investment score and average medal efficiency.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Business Insights &amp; Analytical Outputs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Provide seven worksheet views and two dashboards for country rankings, time trends, category comparisons, regional distribution/efficiency, host context and investment relationship.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User Interaction &amp;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Provide country-rank range and host-advantage filters where available; support comparison through tooltips, chart selection and clear labels.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Data Update &amp; Reporting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Document refresh steps for the packaged extracts; export a workbook, screenshots and report; refresh from a trusted source when one is available.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Consistent titles, legible chart labels, simple dashboard layout, and clear metric descriptions.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Security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The current workbook uses non-sensitive public/synthetic-style sports data; do not include credentials or private personal information.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Reliability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 consistent aggregations and field types; validate row counts and totals after data refresh.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Use packaged extracts for responsive exploration; monitor workbook size and slow views when the data grows.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Availability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The packaged .twbx can be opened locally; public viewing requires a separate Tableau Public publish step.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NFR-6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Scalability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5"/>
              </w:rPr>
              <w:t>For larger or refreshed datasets, consider a governed source, extracts, aggregation layers, and documented refresh schedule.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Somesh Chelani</dc:creator>
  <cp:lastModifiedBy>Somesh Chelani</cp:lastModifiedBy>
</cp:coreProperties>
</file>