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Country medal leaderboard with rank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Ranking /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Medal trend across Olympic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Time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Regional medal efficiency and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Regional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Investment score versus medal output; host-nation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Relationship /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Country medal leaderboard and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Medal trend by Olympic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Regional efficiency and medal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Decision Rationale</w:t>
      </w:r>
    </w:p>
    <w:p>
      <w:pPr>
        <w:spacing w:after="80"/>
      </w:pPr>
      <w:r>
        <w:rPr>
          <w:sz w:val="18"/>
        </w:rPr>
        <w:t>The selected idea is an interactive Tableau workbook combining country rankings, medal trends, sport-category comparisons, regional efficiency, medal distribution, investment-versus-medal patterns, and host-nation context. It offers high analytical value with a manageable implementation using the supplied packaged extracts. Causal claims and unsupported numeric conclusions are intentionally avoided.</w:t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Somesh Chelani</dc:creator>
  <cp:lastModifiedBy>Somesh Chelani</cp:lastModifiedBy>
</cp:coreProperties>
</file>