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1B075" w14:textId="77777777" w:rsidR="00967D98" w:rsidRDefault="00000000">
      <w:pPr>
        <w:jc w:val="center"/>
      </w:pPr>
      <w:r>
        <w:rPr>
          <w:b/>
          <w:sz w:val="32"/>
        </w:rPr>
        <w:t>CO4 – ASSESSMENT TOOL</w:t>
      </w:r>
    </w:p>
    <w:p w14:paraId="5BAB73D6" w14:textId="77777777" w:rsidR="00967D98" w:rsidRDefault="00000000">
      <w:pPr>
        <w:jc w:val="center"/>
      </w:pPr>
      <w:r>
        <w:rPr>
          <w:b/>
          <w:sz w:val="30"/>
        </w:rPr>
        <w:t>RESEARCH PAPER REVIEW / LITERATURE SURVEY</w:t>
      </w:r>
    </w:p>
    <w:p w14:paraId="5B87B1D5" w14:textId="77777777" w:rsidR="00967D98" w:rsidRDefault="00000000">
      <w:pPr>
        <w:jc w:val="center"/>
      </w:pPr>
      <w:r>
        <w:rPr>
          <w:b/>
          <w:sz w:val="26"/>
        </w:rPr>
        <w:t>Problem Statement 17:</w:t>
      </w:r>
      <w:r>
        <w:rPr>
          <w:b/>
          <w:sz w:val="26"/>
        </w:rPr>
        <w:br/>
        <w:t>Personal Health Record Aggregator syncing data across multiple hospitals/clinics</w:t>
      </w:r>
    </w:p>
    <w:p w14:paraId="651AA2BD" w14:textId="77777777" w:rsidR="00634018" w:rsidRDefault="00634018" w:rsidP="00634018">
      <w:r>
        <w:t xml:space="preserve">                                            </w:t>
      </w:r>
      <w:r w:rsidR="00000000">
        <w:t xml:space="preserve">Name of the Student: </w:t>
      </w:r>
      <w:r>
        <w:t>U. Somesh Kumar</w:t>
      </w:r>
    </w:p>
    <w:p w14:paraId="39A2A1F5" w14:textId="2D4E3BE5" w:rsidR="00967D98" w:rsidRDefault="00634018" w:rsidP="00634018">
      <w:r>
        <w:t xml:space="preserve">                                            </w:t>
      </w:r>
      <w:r w:rsidR="00000000">
        <w:t xml:space="preserve">Reg. No: </w:t>
      </w:r>
      <w:r>
        <w:t>192425019</w:t>
      </w:r>
    </w:p>
    <w:p w14:paraId="5DCC7CDE" w14:textId="77777777" w:rsidR="00634018" w:rsidRDefault="00634018" w:rsidP="00634018">
      <w:pPr>
        <w:jc w:val="center"/>
      </w:pPr>
      <w:r>
        <w:t xml:space="preserve">                                 </w:t>
      </w:r>
      <w:r w:rsidR="00000000">
        <w:t>GitHub Link:</w:t>
      </w:r>
      <w:r w:rsidRPr="00634018">
        <w:t xml:space="preserve"> </w:t>
      </w:r>
      <w:r w:rsidRPr="00634018">
        <w:t>https://github.com/someshkumar12345/CSA1012-SOFTWARE-ENGINERRING</w:t>
      </w:r>
    </w:p>
    <w:p w14:paraId="45D18386" w14:textId="7454CD65" w:rsidR="00967D98" w:rsidRDefault="00634018" w:rsidP="00634018">
      <w:r>
        <w:t xml:space="preserve">                                           </w:t>
      </w:r>
      <w:r w:rsidR="00000000">
        <w:t xml:space="preserve">Course: </w:t>
      </w:r>
      <w:r>
        <w:t>CSA 1012 Software Engineering</w:t>
      </w:r>
    </w:p>
    <w:p w14:paraId="11AF81C7" w14:textId="77777777" w:rsidR="00967D98" w:rsidRDefault="00000000">
      <w:r>
        <w:rPr>
          <w:b/>
          <w:sz w:val="28"/>
        </w:rPr>
        <w:t>1. Introduction</w:t>
      </w:r>
    </w:p>
    <w:p w14:paraId="15125775" w14:textId="77777777" w:rsidR="00967D98" w:rsidRDefault="00000000">
      <w:r>
        <w:t>Healthcare information is distributed across hospitals, clinics, diagnostic laboratories and pharmacies. A Personal Health Record (PHR) Aggregator aims to give patients one secure, consolidated view of authorized medical information from multiple providers. The main research challenges are interoperability, semantic consistency, patient identification, consent, security, privacy, data quality, usability and scalability.</w:t>
      </w:r>
    </w:p>
    <w:p w14:paraId="7BB1E4C3" w14:textId="77777777" w:rsidR="00967D98" w:rsidRDefault="00000000">
      <w:r>
        <w:t>This survey reviews research on PHRs, interoperable EHRs and health information exchanges, patient portals, HL7 FHIR and semantic interoperability. The literature is analyzed to identify established approaches, limitations and the research gap relevant to a patient-owned multi-provider health-record aggregator.</w:t>
      </w:r>
    </w:p>
    <w:p w14:paraId="72A2150F" w14:textId="77777777" w:rsidR="00967D98" w:rsidRDefault="00000000">
      <w:r>
        <w:rPr>
          <w:b/>
          <w:sz w:val="28"/>
        </w:rPr>
        <w:t>2. Objectives of the Literature Survey</w:t>
      </w:r>
    </w:p>
    <w:p w14:paraId="4F0EC2FB" w14:textId="77777777" w:rsidR="00967D98" w:rsidRDefault="00000000">
      <w:pPr>
        <w:pStyle w:val="ListBullet"/>
        <w:spacing w:after="0"/>
      </w:pPr>
      <w:r>
        <w:t>Study existing PHR and EHR interoperability approaches.</w:t>
      </w:r>
    </w:p>
    <w:p w14:paraId="045AEBA2" w14:textId="77777777" w:rsidR="00967D98" w:rsidRDefault="00000000">
      <w:pPr>
        <w:pStyle w:val="ListBullet"/>
        <w:spacing w:after="0"/>
      </w:pPr>
      <w:r>
        <w:t>Analyze HL7 FHIR and related healthcare exchange technologies.</w:t>
      </w:r>
    </w:p>
    <w:p w14:paraId="2F0E4E2A" w14:textId="77777777" w:rsidR="00967D98" w:rsidRDefault="00000000">
      <w:pPr>
        <w:pStyle w:val="ListBullet"/>
        <w:spacing w:after="0"/>
      </w:pPr>
      <w:r>
        <w:t>Compare methodologies, evidence, technologies, findings and limitations.</w:t>
      </w:r>
    </w:p>
    <w:p w14:paraId="52D97075" w14:textId="77777777" w:rsidR="00967D98" w:rsidRDefault="00000000">
      <w:pPr>
        <w:pStyle w:val="ListBullet"/>
        <w:spacing w:after="0"/>
      </w:pPr>
      <w:r>
        <w:t>Identify challenges in interoperability, privacy, consent, identity, data quality and usability.</w:t>
      </w:r>
    </w:p>
    <w:p w14:paraId="7ABC121D" w14:textId="77777777" w:rsidR="00967D98" w:rsidRDefault="00000000">
      <w:pPr>
        <w:pStyle w:val="ListBullet"/>
        <w:spacing w:after="0"/>
      </w:pPr>
      <w:r>
        <w:t>Identify research gaps directly related to multi-provider patient-owned aggregation.</w:t>
      </w:r>
    </w:p>
    <w:p w14:paraId="1C0FEC08" w14:textId="77777777" w:rsidR="00967D98" w:rsidRDefault="00000000">
      <w:pPr>
        <w:pStyle w:val="ListBullet"/>
        <w:spacing w:after="0"/>
      </w:pPr>
      <w:r>
        <w:t>Suggest practical future research directions.</w:t>
      </w:r>
    </w:p>
    <w:p w14:paraId="29DEAE5F" w14:textId="77777777" w:rsidR="00967D98" w:rsidRDefault="00000000">
      <w:r>
        <w:rPr>
          <w:b/>
          <w:sz w:val="28"/>
        </w:rPr>
        <w:t>3. Literature Search Strategy</w:t>
      </w:r>
    </w:p>
    <w:tbl>
      <w:tblPr>
        <w:tblStyle w:val="TableGrid"/>
        <w:tblW w:w="0" w:type="auto"/>
        <w:jc w:val="center"/>
        <w:tblLook w:val="04A0" w:firstRow="1" w:lastRow="0" w:firstColumn="1" w:lastColumn="0" w:noHBand="0" w:noVBand="1"/>
      </w:tblPr>
      <w:tblGrid>
        <w:gridCol w:w="5178"/>
        <w:gridCol w:w="5180"/>
      </w:tblGrid>
      <w:tr w:rsidR="00967D98" w14:paraId="14DB17F6" w14:textId="77777777">
        <w:trPr>
          <w:jc w:val="center"/>
        </w:trPr>
        <w:tc>
          <w:tcPr>
            <w:tcW w:w="5184" w:type="dxa"/>
          </w:tcPr>
          <w:p w14:paraId="5ED44694" w14:textId="77777777" w:rsidR="00967D98" w:rsidRDefault="00000000">
            <w:r>
              <w:rPr>
                <w:b/>
                <w:sz w:val="15"/>
              </w:rPr>
              <w:t>Item</w:t>
            </w:r>
          </w:p>
        </w:tc>
        <w:tc>
          <w:tcPr>
            <w:tcW w:w="5184" w:type="dxa"/>
          </w:tcPr>
          <w:p w14:paraId="10A49454" w14:textId="77777777" w:rsidR="00967D98" w:rsidRDefault="00000000">
            <w:r>
              <w:rPr>
                <w:b/>
                <w:sz w:val="15"/>
              </w:rPr>
              <w:t>Approach</w:t>
            </w:r>
          </w:p>
        </w:tc>
      </w:tr>
      <w:tr w:rsidR="00967D98" w14:paraId="08629C88" w14:textId="77777777">
        <w:trPr>
          <w:jc w:val="center"/>
        </w:trPr>
        <w:tc>
          <w:tcPr>
            <w:tcW w:w="5184" w:type="dxa"/>
          </w:tcPr>
          <w:p w14:paraId="3432E9BF" w14:textId="77777777" w:rsidR="00967D98" w:rsidRDefault="00000000">
            <w:r>
              <w:rPr>
                <w:sz w:val="15"/>
              </w:rPr>
              <w:t>Topic</w:t>
            </w:r>
          </w:p>
        </w:tc>
        <w:tc>
          <w:tcPr>
            <w:tcW w:w="5184" w:type="dxa"/>
          </w:tcPr>
          <w:p w14:paraId="203E12C4" w14:textId="77777777" w:rsidR="00967D98" w:rsidRDefault="00000000">
            <w:r>
              <w:rPr>
                <w:sz w:val="15"/>
              </w:rPr>
              <w:t>Personal health records, EHR interoperability, patient portals, HL7 FHIR, semantic interoperability, privacy and consent.</w:t>
            </w:r>
          </w:p>
        </w:tc>
      </w:tr>
      <w:tr w:rsidR="00967D98" w14:paraId="4F539A98" w14:textId="77777777">
        <w:trPr>
          <w:jc w:val="center"/>
        </w:trPr>
        <w:tc>
          <w:tcPr>
            <w:tcW w:w="5184" w:type="dxa"/>
          </w:tcPr>
          <w:p w14:paraId="4A1BD124" w14:textId="77777777" w:rsidR="00967D98" w:rsidRDefault="00000000">
            <w:r>
              <w:rPr>
                <w:sz w:val="15"/>
              </w:rPr>
              <w:t>Sources</w:t>
            </w:r>
          </w:p>
        </w:tc>
        <w:tc>
          <w:tcPr>
            <w:tcW w:w="5184" w:type="dxa"/>
          </w:tcPr>
          <w:p w14:paraId="283333B6" w14:textId="77777777" w:rsidR="00967D98" w:rsidRDefault="00000000">
            <w:r>
              <w:rPr>
                <w:sz w:val="15"/>
              </w:rPr>
              <w:t>PubMed, PMC, JMIR, ScienceDirect and scholarly indexing sources.</w:t>
            </w:r>
          </w:p>
        </w:tc>
      </w:tr>
      <w:tr w:rsidR="00967D98" w14:paraId="34FE34EE" w14:textId="77777777">
        <w:trPr>
          <w:jc w:val="center"/>
        </w:trPr>
        <w:tc>
          <w:tcPr>
            <w:tcW w:w="5184" w:type="dxa"/>
          </w:tcPr>
          <w:p w14:paraId="555E8C03" w14:textId="77777777" w:rsidR="00967D98" w:rsidRDefault="00000000">
            <w:r>
              <w:rPr>
                <w:sz w:val="15"/>
              </w:rPr>
              <w:t>Keywords</w:t>
            </w:r>
          </w:p>
        </w:tc>
        <w:tc>
          <w:tcPr>
            <w:tcW w:w="5184" w:type="dxa"/>
          </w:tcPr>
          <w:p w14:paraId="272E4448" w14:textId="77777777" w:rsidR="00967D98" w:rsidRDefault="00000000">
            <w:r>
              <w:rPr>
                <w:sz w:val="15"/>
              </w:rPr>
              <w:t>personal health record; PHR interoperability; EHR interoperability; FHIR; patient portal; health information exchange; semantic interoperability; privacy; consent.</w:t>
            </w:r>
          </w:p>
        </w:tc>
      </w:tr>
      <w:tr w:rsidR="00967D98" w14:paraId="078E8CB1" w14:textId="77777777">
        <w:trPr>
          <w:jc w:val="center"/>
        </w:trPr>
        <w:tc>
          <w:tcPr>
            <w:tcW w:w="5184" w:type="dxa"/>
          </w:tcPr>
          <w:p w14:paraId="17415FD6" w14:textId="77777777" w:rsidR="00967D98" w:rsidRDefault="00000000">
            <w:r>
              <w:rPr>
                <w:sz w:val="15"/>
              </w:rPr>
              <w:t>Selection</w:t>
            </w:r>
          </w:p>
        </w:tc>
        <w:tc>
          <w:tcPr>
            <w:tcW w:w="5184" w:type="dxa"/>
          </w:tcPr>
          <w:p w14:paraId="42065242" w14:textId="77777777" w:rsidR="00967D98" w:rsidRDefault="00000000">
            <w:r>
              <w:rPr>
                <w:sz w:val="15"/>
              </w:rPr>
              <w:t>Peer-reviewed systematic/scoping/mapping reviews and relevant research with direct relation to PHR, EHR interoperability, patient portals or FHIR.</w:t>
            </w:r>
          </w:p>
        </w:tc>
      </w:tr>
      <w:tr w:rsidR="00967D98" w14:paraId="69B487DD" w14:textId="77777777">
        <w:trPr>
          <w:jc w:val="center"/>
        </w:trPr>
        <w:tc>
          <w:tcPr>
            <w:tcW w:w="5184" w:type="dxa"/>
          </w:tcPr>
          <w:p w14:paraId="02B80632" w14:textId="77777777" w:rsidR="00967D98" w:rsidRDefault="00000000">
            <w:r>
              <w:rPr>
                <w:sz w:val="15"/>
              </w:rPr>
              <w:t>Parameters</w:t>
            </w:r>
          </w:p>
        </w:tc>
        <w:tc>
          <w:tcPr>
            <w:tcW w:w="5184" w:type="dxa"/>
          </w:tcPr>
          <w:p w14:paraId="68D25FDD" w14:textId="77777777" w:rsidR="00967D98" w:rsidRDefault="00000000">
            <w:r>
              <w:rPr>
                <w:sz w:val="15"/>
              </w:rPr>
              <w:t>Objective, methodology, technology/standard, dataset/evidence, findings, limitations and research gap.</w:t>
            </w:r>
          </w:p>
        </w:tc>
      </w:tr>
    </w:tbl>
    <w:p w14:paraId="4DCD0D50" w14:textId="77777777" w:rsidR="00967D98" w:rsidRDefault="00000000">
      <w:r>
        <w:rPr>
          <w:b/>
          <w:sz w:val="28"/>
        </w:rPr>
        <w:t>4. Selected Research Papers</w:t>
      </w:r>
    </w:p>
    <w:tbl>
      <w:tblPr>
        <w:tblStyle w:val="TableGrid"/>
        <w:tblW w:w="0" w:type="auto"/>
        <w:jc w:val="center"/>
        <w:tblLook w:val="04A0" w:firstRow="1" w:lastRow="0" w:firstColumn="1" w:lastColumn="0" w:noHBand="0" w:noVBand="1"/>
      </w:tblPr>
      <w:tblGrid>
        <w:gridCol w:w="2588"/>
        <w:gridCol w:w="2590"/>
        <w:gridCol w:w="2590"/>
        <w:gridCol w:w="2590"/>
      </w:tblGrid>
      <w:tr w:rsidR="00967D98" w14:paraId="2886E4E8" w14:textId="77777777">
        <w:trPr>
          <w:jc w:val="center"/>
        </w:trPr>
        <w:tc>
          <w:tcPr>
            <w:tcW w:w="2592" w:type="dxa"/>
          </w:tcPr>
          <w:p w14:paraId="4E84A2B5" w14:textId="77777777" w:rsidR="00967D98" w:rsidRDefault="00000000">
            <w:r>
              <w:rPr>
                <w:b/>
                <w:sz w:val="15"/>
              </w:rPr>
              <w:t>No.</w:t>
            </w:r>
          </w:p>
        </w:tc>
        <w:tc>
          <w:tcPr>
            <w:tcW w:w="2592" w:type="dxa"/>
          </w:tcPr>
          <w:p w14:paraId="5162E221" w14:textId="77777777" w:rsidR="00967D98" w:rsidRDefault="00000000">
            <w:r>
              <w:rPr>
                <w:b/>
                <w:sz w:val="15"/>
              </w:rPr>
              <w:t>Author(s) / Year</w:t>
            </w:r>
          </w:p>
        </w:tc>
        <w:tc>
          <w:tcPr>
            <w:tcW w:w="2592" w:type="dxa"/>
          </w:tcPr>
          <w:p w14:paraId="5989E6CD" w14:textId="77777777" w:rsidR="00967D98" w:rsidRDefault="00000000">
            <w:r>
              <w:rPr>
                <w:b/>
                <w:sz w:val="15"/>
              </w:rPr>
              <w:t>Research Paper</w:t>
            </w:r>
          </w:p>
        </w:tc>
        <w:tc>
          <w:tcPr>
            <w:tcW w:w="2592" w:type="dxa"/>
          </w:tcPr>
          <w:p w14:paraId="1A682602" w14:textId="77777777" w:rsidR="00967D98" w:rsidRDefault="00000000">
            <w:r>
              <w:rPr>
                <w:b/>
                <w:sz w:val="15"/>
              </w:rPr>
              <w:t>Type</w:t>
            </w:r>
          </w:p>
        </w:tc>
      </w:tr>
      <w:tr w:rsidR="00967D98" w14:paraId="6DF83BCB" w14:textId="77777777">
        <w:trPr>
          <w:jc w:val="center"/>
        </w:trPr>
        <w:tc>
          <w:tcPr>
            <w:tcW w:w="2592" w:type="dxa"/>
          </w:tcPr>
          <w:p w14:paraId="5A086B60" w14:textId="77777777" w:rsidR="00967D98" w:rsidRDefault="00000000">
            <w:r>
              <w:rPr>
                <w:sz w:val="15"/>
              </w:rPr>
              <w:t>1</w:t>
            </w:r>
          </w:p>
        </w:tc>
        <w:tc>
          <w:tcPr>
            <w:tcW w:w="2592" w:type="dxa"/>
          </w:tcPr>
          <w:p w14:paraId="100C2C93" w14:textId="77777777" w:rsidR="00967D98" w:rsidRDefault="00000000">
            <w:r>
              <w:rPr>
                <w:sz w:val="15"/>
              </w:rPr>
              <w:t>Harahap, Handayani &amp; Hidayanto (2021)</w:t>
            </w:r>
          </w:p>
        </w:tc>
        <w:tc>
          <w:tcPr>
            <w:tcW w:w="2592" w:type="dxa"/>
          </w:tcPr>
          <w:p w14:paraId="3E16D00E" w14:textId="77777777" w:rsidR="00967D98" w:rsidRDefault="00000000">
            <w:r>
              <w:rPr>
                <w:sz w:val="15"/>
              </w:rPr>
              <w:t>Functionalities and Issues in the Implementation of Personal Health Records: Systematic Review</w:t>
            </w:r>
          </w:p>
        </w:tc>
        <w:tc>
          <w:tcPr>
            <w:tcW w:w="2592" w:type="dxa"/>
          </w:tcPr>
          <w:p w14:paraId="0C387BF6" w14:textId="77777777" w:rsidR="00967D98" w:rsidRDefault="00000000">
            <w:r>
              <w:rPr>
                <w:sz w:val="15"/>
              </w:rPr>
              <w:t>Systematic review</w:t>
            </w:r>
          </w:p>
        </w:tc>
      </w:tr>
      <w:tr w:rsidR="00967D98" w14:paraId="724F9319" w14:textId="77777777">
        <w:trPr>
          <w:jc w:val="center"/>
        </w:trPr>
        <w:tc>
          <w:tcPr>
            <w:tcW w:w="2592" w:type="dxa"/>
          </w:tcPr>
          <w:p w14:paraId="671ADA1F" w14:textId="77777777" w:rsidR="00967D98" w:rsidRDefault="00000000">
            <w:r>
              <w:rPr>
                <w:sz w:val="15"/>
              </w:rPr>
              <w:t>2</w:t>
            </w:r>
          </w:p>
        </w:tc>
        <w:tc>
          <w:tcPr>
            <w:tcW w:w="2592" w:type="dxa"/>
          </w:tcPr>
          <w:p w14:paraId="0C2ECF60" w14:textId="68C58BF9" w:rsidR="00967D98" w:rsidRDefault="00000000">
            <w:r>
              <w:rPr>
                <w:sz w:val="15"/>
              </w:rPr>
              <w:t>Adler-Milstein et al. (20</w:t>
            </w:r>
            <w:r w:rsidR="00634018">
              <w:rPr>
                <w:sz w:val="15"/>
              </w:rPr>
              <w:t>23</w:t>
            </w:r>
            <w:r>
              <w:rPr>
                <w:sz w:val="15"/>
              </w:rPr>
              <w:t>)</w:t>
            </w:r>
          </w:p>
        </w:tc>
        <w:tc>
          <w:tcPr>
            <w:tcW w:w="2592" w:type="dxa"/>
          </w:tcPr>
          <w:p w14:paraId="7AD64FDE" w14:textId="77777777" w:rsidR="00967D98" w:rsidRDefault="00000000">
            <w:r>
              <w:rPr>
                <w:sz w:val="15"/>
              </w:rPr>
              <w:t>Interoperable Electronic Health Records and Health Information Exchanges: Systematic Review</w:t>
            </w:r>
          </w:p>
        </w:tc>
        <w:tc>
          <w:tcPr>
            <w:tcW w:w="2592" w:type="dxa"/>
          </w:tcPr>
          <w:p w14:paraId="0AC2E81F" w14:textId="77777777" w:rsidR="00967D98" w:rsidRDefault="00000000">
            <w:r>
              <w:rPr>
                <w:sz w:val="15"/>
              </w:rPr>
              <w:t>Systematic review</w:t>
            </w:r>
          </w:p>
        </w:tc>
      </w:tr>
      <w:tr w:rsidR="00967D98" w14:paraId="5E2768E5" w14:textId="77777777">
        <w:trPr>
          <w:jc w:val="center"/>
        </w:trPr>
        <w:tc>
          <w:tcPr>
            <w:tcW w:w="2592" w:type="dxa"/>
          </w:tcPr>
          <w:p w14:paraId="71CB1BDE" w14:textId="77777777" w:rsidR="00967D98" w:rsidRDefault="00000000">
            <w:r>
              <w:rPr>
                <w:sz w:val="15"/>
              </w:rPr>
              <w:t>3</w:t>
            </w:r>
          </w:p>
        </w:tc>
        <w:tc>
          <w:tcPr>
            <w:tcW w:w="2592" w:type="dxa"/>
          </w:tcPr>
          <w:p w14:paraId="17F9022C" w14:textId="35749E08" w:rsidR="00967D98" w:rsidRDefault="00000000">
            <w:r>
              <w:rPr>
                <w:sz w:val="15"/>
              </w:rPr>
              <w:t>Lehne et al. (20</w:t>
            </w:r>
            <w:r w:rsidR="00634018">
              <w:rPr>
                <w:sz w:val="15"/>
              </w:rPr>
              <w:t>22</w:t>
            </w:r>
            <w:r>
              <w:rPr>
                <w:sz w:val="15"/>
              </w:rPr>
              <w:t>)</w:t>
            </w:r>
          </w:p>
        </w:tc>
        <w:tc>
          <w:tcPr>
            <w:tcW w:w="2592" w:type="dxa"/>
          </w:tcPr>
          <w:p w14:paraId="46D50277" w14:textId="77777777" w:rsidR="00967D98" w:rsidRDefault="00000000">
            <w:r>
              <w:rPr>
                <w:sz w:val="15"/>
              </w:rPr>
              <w:t>The Use of FHIR in Healthcare Data Exchange: Systematic Literature Review</w:t>
            </w:r>
          </w:p>
        </w:tc>
        <w:tc>
          <w:tcPr>
            <w:tcW w:w="2592" w:type="dxa"/>
          </w:tcPr>
          <w:p w14:paraId="74CC56B6" w14:textId="77777777" w:rsidR="00967D98" w:rsidRDefault="00000000">
            <w:r>
              <w:rPr>
                <w:sz w:val="15"/>
              </w:rPr>
              <w:t>Systematic review</w:t>
            </w:r>
          </w:p>
        </w:tc>
      </w:tr>
      <w:tr w:rsidR="00967D98" w14:paraId="5346DC88" w14:textId="77777777">
        <w:trPr>
          <w:jc w:val="center"/>
        </w:trPr>
        <w:tc>
          <w:tcPr>
            <w:tcW w:w="2592" w:type="dxa"/>
          </w:tcPr>
          <w:p w14:paraId="28EFFEDF" w14:textId="77777777" w:rsidR="00967D98" w:rsidRDefault="00000000">
            <w:r>
              <w:rPr>
                <w:sz w:val="15"/>
              </w:rPr>
              <w:t>4</w:t>
            </w:r>
          </w:p>
        </w:tc>
        <w:tc>
          <w:tcPr>
            <w:tcW w:w="2592" w:type="dxa"/>
          </w:tcPr>
          <w:p w14:paraId="1A117726" w14:textId="77777777" w:rsidR="00967D98" w:rsidRDefault="00000000">
            <w:r>
              <w:rPr>
                <w:sz w:val="15"/>
              </w:rPr>
              <w:t>Hughes et al. (2024)</w:t>
            </w:r>
          </w:p>
        </w:tc>
        <w:tc>
          <w:tcPr>
            <w:tcW w:w="2592" w:type="dxa"/>
          </w:tcPr>
          <w:p w14:paraId="2B14A0E2" w14:textId="77777777" w:rsidR="00967D98" w:rsidRDefault="00000000">
            <w:r>
              <w:rPr>
                <w:sz w:val="15"/>
              </w:rPr>
              <w:t xml:space="preserve">Key Interoperability Factors for Patient </w:t>
            </w:r>
            <w:r>
              <w:rPr>
                <w:sz w:val="15"/>
              </w:rPr>
              <w:lastRenderedPageBreak/>
              <w:t>Portals and Electronic Health Records: A Scoping Review</w:t>
            </w:r>
          </w:p>
        </w:tc>
        <w:tc>
          <w:tcPr>
            <w:tcW w:w="2592" w:type="dxa"/>
          </w:tcPr>
          <w:p w14:paraId="516CBACB" w14:textId="77777777" w:rsidR="00967D98" w:rsidRDefault="00000000">
            <w:r>
              <w:rPr>
                <w:sz w:val="15"/>
              </w:rPr>
              <w:lastRenderedPageBreak/>
              <w:t>Scoping review</w:t>
            </w:r>
          </w:p>
        </w:tc>
      </w:tr>
      <w:tr w:rsidR="00967D98" w14:paraId="4494F2B2" w14:textId="77777777">
        <w:trPr>
          <w:jc w:val="center"/>
        </w:trPr>
        <w:tc>
          <w:tcPr>
            <w:tcW w:w="2592" w:type="dxa"/>
          </w:tcPr>
          <w:p w14:paraId="60871EA0" w14:textId="77777777" w:rsidR="00967D98" w:rsidRDefault="00000000">
            <w:r>
              <w:rPr>
                <w:sz w:val="15"/>
              </w:rPr>
              <w:t>5</w:t>
            </w:r>
          </w:p>
        </w:tc>
        <w:tc>
          <w:tcPr>
            <w:tcW w:w="2592" w:type="dxa"/>
          </w:tcPr>
          <w:p w14:paraId="3AAEDC6F" w14:textId="761FB3A1" w:rsidR="00967D98" w:rsidRDefault="00000000">
            <w:r>
              <w:rPr>
                <w:sz w:val="15"/>
              </w:rPr>
              <w:t>Ayaz et al. (202</w:t>
            </w:r>
            <w:r w:rsidR="00634018">
              <w:rPr>
                <w:sz w:val="15"/>
              </w:rPr>
              <w:t>4</w:t>
            </w:r>
            <w:r>
              <w:rPr>
                <w:sz w:val="15"/>
              </w:rPr>
              <w:t>)</w:t>
            </w:r>
          </w:p>
        </w:tc>
        <w:tc>
          <w:tcPr>
            <w:tcW w:w="2592" w:type="dxa"/>
          </w:tcPr>
          <w:p w14:paraId="614B4EE9" w14:textId="77777777" w:rsidR="00967D98" w:rsidRDefault="00000000">
            <w:r>
              <w:rPr>
                <w:sz w:val="15"/>
              </w:rPr>
              <w:t>The Fast Healthcare Interoperability Resources (FHIR) Standard: Systematic Literature Review</w:t>
            </w:r>
          </w:p>
        </w:tc>
        <w:tc>
          <w:tcPr>
            <w:tcW w:w="2592" w:type="dxa"/>
          </w:tcPr>
          <w:p w14:paraId="211F3084" w14:textId="77777777" w:rsidR="00967D98" w:rsidRDefault="00000000">
            <w:r>
              <w:rPr>
                <w:sz w:val="15"/>
              </w:rPr>
              <w:t>Systematic review</w:t>
            </w:r>
          </w:p>
        </w:tc>
      </w:tr>
      <w:tr w:rsidR="00967D98" w14:paraId="19A20BC5" w14:textId="77777777">
        <w:trPr>
          <w:jc w:val="center"/>
        </w:trPr>
        <w:tc>
          <w:tcPr>
            <w:tcW w:w="2592" w:type="dxa"/>
          </w:tcPr>
          <w:p w14:paraId="212F8017" w14:textId="77777777" w:rsidR="00967D98" w:rsidRDefault="00000000">
            <w:r>
              <w:rPr>
                <w:sz w:val="15"/>
              </w:rPr>
              <w:t>6</w:t>
            </w:r>
          </w:p>
        </w:tc>
        <w:tc>
          <w:tcPr>
            <w:tcW w:w="2592" w:type="dxa"/>
          </w:tcPr>
          <w:p w14:paraId="3651BBA3" w14:textId="29F92AE2" w:rsidR="00967D98" w:rsidRDefault="00000000">
            <w:r>
              <w:rPr>
                <w:sz w:val="15"/>
              </w:rPr>
              <w:t>Otte-Trojel et al. (201</w:t>
            </w:r>
            <w:r w:rsidR="00634018">
              <w:rPr>
                <w:sz w:val="15"/>
              </w:rPr>
              <w:t>5</w:t>
            </w:r>
            <w:r>
              <w:rPr>
                <w:sz w:val="15"/>
              </w:rPr>
              <w:t>)</w:t>
            </w:r>
          </w:p>
        </w:tc>
        <w:tc>
          <w:tcPr>
            <w:tcW w:w="2592" w:type="dxa"/>
          </w:tcPr>
          <w:p w14:paraId="7898286A" w14:textId="77777777" w:rsidR="00967D98" w:rsidRDefault="00000000">
            <w:r>
              <w:rPr>
                <w:sz w:val="15"/>
              </w:rPr>
              <w:t>What do we know about developing patient portals? A systematic literature review</w:t>
            </w:r>
          </w:p>
        </w:tc>
        <w:tc>
          <w:tcPr>
            <w:tcW w:w="2592" w:type="dxa"/>
          </w:tcPr>
          <w:p w14:paraId="0053604D" w14:textId="77777777" w:rsidR="00967D98" w:rsidRDefault="00000000">
            <w:r>
              <w:rPr>
                <w:sz w:val="15"/>
              </w:rPr>
              <w:t>Systematic review</w:t>
            </w:r>
          </w:p>
        </w:tc>
      </w:tr>
      <w:tr w:rsidR="00967D98" w14:paraId="12F0ABE8" w14:textId="77777777">
        <w:trPr>
          <w:jc w:val="center"/>
        </w:trPr>
        <w:tc>
          <w:tcPr>
            <w:tcW w:w="2592" w:type="dxa"/>
          </w:tcPr>
          <w:p w14:paraId="78AA34F8" w14:textId="77777777" w:rsidR="00967D98" w:rsidRDefault="00000000">
            <w:r>
              <w:rPr>
                <w:sz w:val="15"/>
              </w:rPr>
              <w:t>7</w:t>
            </w:r>
          </w:p>
        </w:tc>
        <w:tc>
          <w:tcPr>
            <w:tcW w:w="2592" w:type="dxa"/>
          </w:tcPr>
          <w:p w14:paraId="34BF0357" w14:textId="212C080E" w:rsidR="00967D98" w:rsidRDefault="00000000">
            <w:r>
              <w:rPr>
                <w:sz w:val="15"/>
              </w:rPr>
              <w:t>Irizarry et al. (20</w:t>
            </w:r>
            <w:r w:rsidR="00634018">
              <w:rPr>
                <w:sz w:val="15"/>
              </w:rPr>
              <w:t>23</w:t>
            </w:r>
            <w:r>
              <w:rPr>
                <w:sz w:val="15"/>
              </w:rPr>
              <w:t>)</w:t>
            </w:r>
          </w:p>
        </w:tc>
        <w:tc>
          <w:tcPr>
            <w:tcW w:w="2592" w:type="dxa"/>
          </w:tcPr>
          <w:p w14:paraId="1EEFE637" w14:textId="77777777" w:rsidR="00967D98" w:rsidRDefault="00000000">
            <w:r>
              <w:rPr>
                <w:sz w:val="15"/>
              </w:rPr>
              <w:t>Personal Health Records: A Systematic Literature Review</w:t>
            </w:r>
          </w:p>
        </w:tc>
        <w:tc>
          <w:tcPr>
            <w:tcW w:w="2592" w:type="dxa"/>
          </w:tcPr>
          <w:p w14:paraId="745F9C00" w14:textId="77777777" w:rsidR="00967D98" w:rsidRDefault="00000000">
            <w:r>
              <w:rPr>
                <w:sz w:val="15"/>
              </w:rPr>
              <w:t>Systematic review</w:t>
            </w:r>
          </w:p>
        </w:tc>
      </w:tr>
      <w:tr w:rsidR="00967D98" w14:paraId="49015CE3" w14:textId="77777777">
        <w:trPr>
          <w:jc w:val="center"/>
        </w:trPr>
        <w:tc>
          <w:tcPr>
            <w:tcW w:w="2592" w:type="dxa"/>
          </w:tcPr>
          <w:p w14:paraId="35FF9928" w14:textId="77777777" w:rsidR="00967D98" w:rsidRDefault="00000000">
            <w:r>
              <w:rPr>
                <w:sz w:val="15"/>
              </w:rPr>
              <w:t>8</w:t>
            </w:r>
          </w:p>
        </w:tc>
        <w:tc>
          <w:tcPr>
            <w:tcW w:w="2592" w:type="dxa"/>
          </w:tcPr>
          <w:p w14:paraId="29A35E03" w14:textId="15D7B17A" w:rsidR="00967D98" w:rsidRDefault="00000000">
            <w:r>
              <w:rPr>
                <w:sz w:val="15"/>
              </w:rPr>
              <w:t>Kruse et al. (20</w:t>
            </w:r>
            <w:r w:rsidR="00634018">
              <w:rPr>
                <w:sz w:val="15"/>
              </w:rPr>
              <w:t>24</w:t>
            </w:r>
            <w:r>
              <w:rPr>
                <w:sz w:val="15"/>
              </w:rPr>
              <w:t>)</w:t>
            </w:r>
          </w:p>
        </w:tc>
        <w:tc>
          <w:tcPr>
            <w:tcW w:w="2592" w:type="dxa"/>
          </w:tcPr>
          <w:p w14:paraId="7B5A61B1" w14:textId="77777777" w:rsidR="00967D98" w:rsidRDefault="00000000">
            <w:r>
              <w:rPr>
                <w:sz w:val="15"/>
              </w:rPr>
              <w:t>Barriers, Facilitators, and Solutions to Optimal Patient Portal and Personal Health Record Use</w:t>
            </w:r>
          </w:p>
        </w:tc>
        <w:tc>
          <w:tcPr>
            <w:tcW w:w="2592" w:type="dxa"/>
          </w:tcPr>
          <w:p w14:paraId="5562C3E0" w14:textId="77777777" w:rsidR="00967D98" w:rsidRDefault="00000000">
            <w:r>
              <w:rPr>
                <w:sz w:val="15"/>
              </w:rPr>
              <w:t>Systematic review</w:t>
            </w:r>
          </w:p>
        </w:tc>
      </w:tr>
      <w:tr w:rsidR="00967D98" w14:paraId="06BDB0B2" w14:textId="77777777">
        <w:trPr>
          <w:jc w:val="center"/>
        </w:trPr>
        <w:tc>
          <w:tcPr>
            <w:tcW w:w="2592" w:type="dxa"/>
          </w:tcPr>
          <w:p w14:paraId="54555B9D" w14:textId="77777777" w:rsidR="00967D98" w:rsidRDefault="00000000">
            <w:r>
              <w:rPr>
                <w:sz w:val="15"/>
              </w:rPr>
              <w:t>9</w:t>
            </w:r>
          </w:p>
        </w:tc>
        <w:tc>
          <w:tcPr>
            <w:tcW w:w="2592" w:type="dxa"/>
          </w:tcPr>
          <w:p w14:paraId="69A86622" w14:textId="02312639" w:rsidR="00967D98" w:rsidRDefault="00000000">
            <w:r>
              <w:rPr>
                <w:sz w:val="15"/>
              </w:rPr>
              <w:t>de Mello et al. (202</w:t>
            </w:r>
            <w:r w:rsidR="00634018">
              <w:rPr>
                <w:sz w:val="15"/>
              </w:rPr>
              <w:t>3</w:t>
            </w:r>
            <w:r>
              <w:rPr>
                <w:sz w:val="15"/>
              </w:rPr>
              <w:t>)</w:t>
            </w:r>
          </w:p>
        </w:tc>
        <w:tc>
          <w:tcPr>
            <w:tcW w:w="2592" w:type="dxa"/>
          </w:tcPr>
          <w:p w14:paraId="7C6306DB" w14:textId="77777777" w:rsidR="00967D98" w:rsidRDefault="00000000">
            <w:r>
              <w:rPr>
                <w:sz w:val="15"/>
              </w:rPr>
              <w:t>Electronic Health Record and Semantic Issues Using FHIR: Systematic Mapping Review</w:t>
            </w:r>
          </w:p>
        </w:tc>
        <w:tc>
          <w:tcPr>
            <w:tcW w:w="2592" w:type="dxa"/>
          </w:tcPr>
          <w:p w14:paraId="7E0AFDF6" w14:textId="77777777" w:rsidR="00967D98" w:rsidRDefault="00000000">
            <w:r>
              <w:rPr>
                <w:sz w:val="15"/>
              </w:rPr>
              <w:t>Systematic mapping review</w:t>
            </w:r>
          </w:p>
        </w:tc>
      </w:tr>
    </w:tbl>
    <w:p w14:paraId="3630468D" w14:textId="77777777" w:rsidR="00967D98" w:rsidRDefault="00000000">
      <w:r>
        <w:rPr>
          <w:b/>
          <w:sz w:val="28"/>
        </w:rPr>
        <w:t>5. Individual Paper Reviews</w:t>
      </w:r>
    </w:p>
    <w:p w14:paraId="750F574D" w14:textId="76C3804E" w:rsidR="00967D98" w:rsidRDefault="00000000">
      <w:r>
        <w:rPr>
          <w:b/>
          <w:sz w:val="24"/>
        </w:rPr>
        <w:t xml:space="preserve">5.1 Harahap, </w:t>
      </w:r>
      <w:proofErr w:type="spellStart"/>
      <w:r>
        <w:rPr>
          <w:b/>
          <w:sz w:val="24"/>
        </w:rPr>
        <w:t>Handayani</w:t>
      </w:r>
      <w:proofErr w:type="spellEnd"/>
      <w:r>
        <w:rPr>
          <w:b/>
          <w:sz w:val="24"/>
        </w:rPr>
        <w:t xml:space="preserve"> &amp; </w:t>
      </w:r>
      <w:proofErr w:type="spellStart"/>
      <w:r>
        <w:rPr>
          <w:b/>
          <w:sz w:val="24"/>
        </w:rPr>
        <w:t>Hidayanto</w:t>
      </w:r>
      <w:proofErr w:type="spellEnd"/>
      <w:r>
        <w:rPr>
          <w:b/>
          <w:sz w:val="24"/>
        </w:rPr>
        <w:t xml:space="preserve"> (202</w:t>
      </w:r>
      <w:r w:rsidR="00634018">
        <w:rPr>
          <w:b/>
          <w:sz w:val="24"/>
        </w:rPr>
        <w:t>3</w:t>
      </w:r>
      <w:r>
        <w:rPr>
          <w:b/>
          <w:sz w:val="24"/>
        </w:rPr>
        <w:t>)</w:t>
      </w:r>
    </w:p>
    <w:p w14:paraId="68951B22" w14:textId="77777777" w:rsidR="00967D98" w:rsidRDefault="00000000">
      <w:r>
        <w:t>Objective: Identify major PHR functionalities and implementation issues. Method: PRISMA-based systematic review covering Scopus, ScienceDirect, IEEE, MEDLINE, CINAHL and PubMed; 105 articles were selected. Findings: PHRs include health/administrative records and advanced functions such as medication management, communication, appointments, education and self-monitoring. Interoperability, security/privacy, usability, data quality and personalization were recurring issues. Limitation: broad review rather than a validated multi-provider implementation. Gap: an end-to-end aggregator must combine interoperability, consent, identity and data-quality controls.</w:t>
      </w:r>
    </w:p>
    <w:p w14:paraId="3B3ED26D" w14:textId="7699BDF8" w:rsidR="00967D98" w:rsidRDefault="00000000">
      <w:r>
        <w:rPr>
          <w:b/>
          <w:sz w:val="24"/>
        </w:rPr>
        <w:t>5.2 Adler-Milstein et al. (20</w:t>
      </w:r>
      <w:r w:rsidR="00634018">
        <w:rPr>
          <w:b/>
          <w:sz w:val="24"/>
        </w:rPr>
        <w:t>23</w:t>
      </w:r>
      <w:r>
        <w:rPr>
          <w:b/>
          <w:sz w:val="24"/>
        </w:rPr>
        <w:t>)</w:t>
      </w:r>
    </w:p>
    <w:p w14:paraId="741B68BA" w14:textId="77777777" w:rsidR="00967D98" w:rsidRDefault="00000000">
      <w:r>
        <w:t>Objective: Assess adoption, use and impact of interoperable EHRs and health information exchanges. Method: Systematic review of 130 articles (113 primary studies and 17 reviews). Evidence included 29 measurement items and 522 outcomes. Finding: 298/522 outcomes (57.1%) were positive, but results varied and generalizable evidence was limited in some areas. Limitation: heterogeneous evidence and organization-centered implementations. Gap: patient-centric aggregation should demonstrate measurable benefits such as improved continuity and reduced duplicate testing.</w:t>
      </w:r>
    </w:p>
    <w:p w14:paraId="5A8D8C33" w14:textId="3C9D2FCF" w:rsidR="00967D98" w:rsidRDefault="00000000">
      <w:r>
        <w:rPr>
          <w:b/>
          <w:sz w:val="24"/>
        </w:rPr>
        <w:t>5.3 Lehne et al. (20</w:t>
      </w:r>
      <w:r w:rsidR="00634018">
        <w:rPr>
          <w:b/>
          <w:sz w:val="24"/>
        </w:rPr>
        <w:t>24</w:t>
      </w:r>
      <w:r>
        <w:rPr>
          <w:b/>
          <w:sz w:val="24"/>
        </w:rPr>
        <w:t>)</w:t>
      </w:r>
    </w:p>
    <w:p w14:paraId="03485846" w14:textId="77777777" w:rsidR="00967D98" w:rsidRDefault="00000000">
      <w:r>
        <w:t>Objective: Examine FHIR use in healthcare data exchange. Method: Systematic review of FHIR exchange literature. Technology: HL7 FHIR and REST/API-based interoperability. Finding: FHIR is an important modern exchange mechanism. Limitation: FHIR alone does not solve semantic differences, patient identity, consent or legacy integration. Gap: a FHIR gateway needs terminology mapping, identity resolution, provenance and policy enforcement.</w:t>
      </w:r>
    </w:p>
    <w:p w14:paraId="096F1D72" w14:textId="77777777" w:rsidR="00967D98" w:rsidRDefault="00000000">
      <w:r>
        <w:rPr>
          <w:b/>
          <w:sz w:val="24"/>
        </w:rPr>
        <w:t>5.4 Hughes et al. (2024)</w:t>
      </w:r>
    </w:p>
    <w:p w14:paraId="06C951BF" w14:textId="77777777" w:rsidR="00967D98" w:rsidRDefault="00000000">
      <w:r>
        <w:t>Objective: Identify requirements and challenges for interoperability between patient portals and EHRs. Method: Scoping review; 3,462 studies screened and 34 included across 11 countries; 29 unique portals were studied. Finding: few portals offered complete records across multiple sites. Key issues included heterogeneous systems, data formats, identity, access/control/consent, storage and security/privacy. Gap: integrate these technical and governance requirements in one patient-owned architecture.</w:t>
      </w:r>
    </w:p>
    <w:p w14:paraId="7451C0C0" w14:textId="31ED3307" w:rsidR="00967D98" w:rsidRDefault="00000000">
      <w:r>
        <w:rPr>
          <w:b/>
          <w:sz w:val="24"/>
        </w:rPr>
        <w:t>5.5 Ayaz et al. (202</w:t>
      </w:r>
      <w:r w:rsidR="00634018">
        <w:rPr>
          <w:b/>
          <w:sz w:val="24"/>
        </w:rPr>
        <w:t>5</w:t>
      </w:r>
      <w:r>
        <w:rPr>
          <w:b/>
          <w:sz w:val="24"/>
        </w:rPr>
        <w:t>)</w:t>
      </w:r>
    </w:p>
    <w:p w14:paraId="7F5C756B" w14:textId="77777777" w:rsidR="00967D98" w:rsidRDefault="00000000">
      <w:r>
        <w:t>Objective: Review FHIR implementations, applications, challenges and opportunities. Method: Search of major healthcare/computer-science databases; 8,181 records identified and 80 included. Technology: FHIR, EHR, CDA and SMART-related approaches. Finding: FHIR has broad application and future importance. Limitation: implementation models differ. Gap: evaluate complete multi-provider aggregation rather than isolated FHIR demonstrations.</w:t>
      </w:r>
    </w:p>
    <w:p w14:paraId="191183EF" w14:textId="68A11BBF" w:rsidR="00967D98" w:rsidRDefault="00000000">
      <w:r>
        <w:rPr>
          <w:b/>
          <w:sz w:val="24"/>
        </w:rPr>
        <w:t>5.6 Otte-Trojel et al. (20</w:t>
      </w:r>
      <w:r w:rsidR="00634018">
        <w:rPr>
          <w:b/>
          <w:sz w:val="24"/>
        </w:rPr>
        <w:t>25</w:t>
      </w:r>
      <w:r>
        <w:rPr>
          <w:b/>
          <w:sz w:val="24"/>
        </w:rPr>
        <w:t>)</w:t>
      </w:r>
    </w:p>
    <w:p w14:paraId="4FFF1741" w14:textId="77777777" w:rsidR="00967D98" w:rsidRDefault="00000000">
      <w:r>
        <w:lastRenderedPageBreak/>
        <w:t>Objective: Review problems, causes and solutions in patient portal development. Method: systematic review of 109 articles. Findings: patient/provider engagement, data governance, security/interoperability and sustainable models are major issues. Limitation: few proposed solutions were implemented and evaluated. Gap: PHR research should evaluate technical performance together with adoption, governance and real-world outcomes.</w:t>
      </w:r>
    </w:p>
    <w:p w14:paraId="082BF1A2" w14:textId="5D325715" w:rsidR="00967D98" w:rsidRDefault="00000000">
      <w:r>
        <w:rPr>
          <w:b/>
          <w:sz w:val="24"/>
        </w:rPr>
        <w:t>5.7 Irizarry et al. (20</w:t>
      </w:r>
      <w:r w:rsidR="00634018">
        <w:rPr>
          <w:b/>
          <w:sz w:val="24"/>
        </w:rPr>
        <w:t>26)</w:t>
      </w:r>
    </w:p>
    <w:p w14:paraId="18E17F3D" w14:textId="77777777" w:rsidR="00967D98" w:rsidRDefault="00000000">
      <w:r>
        <w:t>Objective: Review PHR research and adoption challenges. Findings: patient control is valuable, while interoperability, implementation cost, privacy and security remain barriers. Limitation: broad literature evidence. Gap: practical patient-controlled cross-provider aggregation with measurable benefits.</w:t>
      </w:r>
    </w:p>
    <w:p w14:paraId="1DDB0128" w14:textId="07263AE6" w:rsidR="00967D98" w:rsidRDefault="00000000">
      <w:r>
        <w:rPr>
          <w:b/>
          <w:sz w:val="24"/>
        </w:rPr>
        <w:t>5.8 Kruse et al. (20</w:t>
      </w:r>
      <w:r w:rsidR="00634018">
        <w:rPr>
          <w:b/>
          <w:sz w:val="24"/>
        </w:rPr>
        <w:t>24</w:t>
      </w:r>
      <w:r>
        <w:rPr>
          <w:b/>
          <w:sz w:val="24"/>
        </w:rPr>
        <w:t>)</w:t>
      </w:r>
    </w:p>
    <w:p w14:paraId="75C825A2" w14:textId="77777777" w:rsidR="00967D98" w:rsidRDefault="00000000">
      <w:r>
        <w:t>Objective: Identify barriers and facilitators to PHR/patient portal use. Findings: patient attitudes, institutional support, IT support, interface design, privacy concerns and enrollment difficulties affect adoption. Limitation: barriers vary by context. Gap: interoperable systems must also be usable and trusted.</w:t>
      </w:r>
    </w:p>
    <w:p w14:paraId="1A58AA58" w14:textId="77777777" w:rsidR="00967D98" w:rsidRDefault="00000000">
      <w:r>
        <w:rPr>
          <w:b/>
          <w:sz w:val="24"/>
        </w:rPr>
        <w:t>5.9 de Mello et al. (2024)</w:t>
      </w:r>
    </w:p>
    <w:p w14:paraId="568BBA6C" w14:textId="77777777" w:rsidR="00967D98" w:rsidRDefault="00000000">
      <w:r>
        <w:t>Objective: Map semantic interoperability research using FHIR. Method: systematic mapping review using 10 databases for 2012–2022; 70 studies selected. Approaches included mapping, terminology services, RDF/OWL, annotation, ML/NLP and ontology-based approaches. Gap: combine FHIR exchange with terminology normalization and provenance in a practical PHR aggregator.</w:t>
      </w:r>
    </w:p>
    <w:p w14:paraId="497BB3E0" w14:textId="77777777" w:rsidR="00967D98" w:rsidRDefault="00000000">
      <w:r>
        <w:rPr>
          <w:b/>
          <w:sz w:val="28"/>
        </w:rPr>
        <w:t>6. Comparative Literature Survey</w:t>
      </w:r>
    </w:p>
    <w:tbl>
      <w:tblPr>
        <w:tblStyle w:val="TableGrid"/>
        <w:tblW w:w="0" w:type="auto"/>
        <w:jc w:val="center"/>
        <w:tblLook w:val="04A0" w:firstRow="1" w:lastRow="0" w:firstColumn="1" w:lastColumn="0" w:noHBand="0" w:noVBand="1"/>
      </w:tblPr>
      <w:tblGrid>
        <w:gridCol w:w="1701"/>
        <w:gridCol w:w="1704"/>
        <w:gridCol w:w="1791"/>
        <w:gridCol w:w="1725"/>
        <w:gridCol w:w="1728"/>
        <w:gridCol w:w="1709"/>
      </w:tblGrid>
      <w:tr w:rsidR="00967D98" w14:paraId="2AFFA8B8" w14:textId="77777777">
        <w:trPr>
          <w:jc w:val="center"/>
        </w:trPr>
        <w:tc>
          <w:tcPr>
            <w:tcW w:w="1728" w:type="dxa"/>
          </w:tcPr>
          <w:p w14:paraId="29B06EC5" w14:textId="77777777" w:rsidR="00967D98" w:rsidRDefault="00000000">
            <w:r>
              <w:rPr>
                <w:b/>
                <w:sz w:val="15"/>
              </w:rPr>
              <w:t>Paper</w:t>
            </w:r>
          </w:p>
        </w:tc>
        <w:tc>
          <w:tcPr>
            <w:tcW w:w="1728" w:type="dxa"/>
          </w:tcPr>
          <w:p w14:paraId="70963F99" w14:textId="77777777" w:rsidR="00967D98" w:rsidRDefault="00000000">
            <w:r>
              <w:rPr>
                <w:b/>
                <w:sz w:val="15"/>
              </w:rPr>
              <w:t>Method / Evidence</w:t>
            </w:r>
          </w:p>
        </w:tc>
        <w:tc>
          <w:tcPr>
            <w:tcW w:w="1728" w:type="dxa"/>
          </w:tcPr>
          <w:p w14:paraId="4F12CE16" w14:textId="77777777" w:rsidR="00967D98" w:rsidRDefault="00000000">
            <w:r>
              <w:rPr>
                <w:b/>
                <w:sz w:val="15"/>
              </w:rPr>
              <w:t>Technology</w:t>
            </w:r>
          </w:p>
        </w:tc>
        <w:tc>
          <w:tcPr>
            <w:tcW w:w="1728" w:type="dxa"/>
          </w:tcPr>
          <w:p w14:paraId="1F79056D" w14:textId="77777777" w:rsidR="00967D98" w:rsidRDefault="00000000">
            <w:r>
              <w:rPr>
                <w:b/>
                <w:sz w:val="15"/>
              </w:rPr>
              <w:t>Key Findings</w:t>
            </w:r>
          </w:p>
        </w:tc>
        <w:tc>
          <w:tcPr>
            <w:tcW w:w="1728" w:type="dxa"/>
          </w:tcPr>
          <w:p w14:paraId="00D1DB80" w14:textId="77777777" w:rsidR="00967D98" w:rsidRDefault="00000000">
            <w:r>
              <w:rPr>
                <w:b/>
                <w:sz w:val="15"/>
              </w:rPr>
              <w:t>Limitations</w:t>
            </w:r>
          </w:p>
        </w:tc>
        <w:tc>
          <w:tcPr>
            <w:tcW w:w="1728" w:type="dxa"/>
          </w:tcPr>
          <w:p w14:paraId="0DDE7A1F" w14:textId="77777777" w:rsidR="00967D98" w:rsidRDefault="00000000">
            <w:r>
              <w:rPr>
                <w:b/>
                <w:sz w:val="15"/>
              </w:rPr>
              <w:t>Research Gap</w:t>
            </w:r>
          </w:p>
        </w:tc>
      </w:tr>
      <w:tr w:rsidR="00967D98" w14:paraId="0E09A4CD" w14:textId="77777777">
        <w:trPr>
          <w:jc w:val="center"/>
        </w:trPr>
        <w:tc>
          <w:tcPr>
            <w:tcW w:w="1728" w:type="dxa"/>
          </w:tcPr>
          <w:p w14:paraId="2CF85554" w14:textId="5FBCB946" w:rsidR="00967D98" w:rsidRDefault="00000000">
            <w:r>
              <w:rPr>
                <w:sz w:val="15"/>
              </w:rPr>
              <w:t>Harahap et al. 202</w:t>
            </w:r>
            <w:r w:rsidR="00634018">
              <w:rPr>
                <w:sz w:val="15"/>
              </w:rPr>
              <w:t>3</w:t>
            </w:r>
          </w:p>
        </w:tc>
        <w:tc>
          <w:tcPr>
            <w:tcW w:w="1728" w:type="dxa"/>
          </w:tcPr>
          <w:p w14:paraId="4DEE355E" w14:textId="77777777" w:rsidR="00967D98" w:rsidRDefault="00000000">
            <w:r>
              <w:rPr>
                <w:sz w:val="15"/>
              </w:rPr>
              <w:t>Systematic review; 105 articles</w:t>
            </w:r>
          </w:p>
        </w:tc>
        <w:tc>
          <w:tcPr>
            <w:tcW w:w="1728" w:type="dxa"/>
          </w:tcPr>
          <w:p w14:paraId="46824209" w14:textId="77777777" w:rsidR="00967D98" w:rsidRDefault="00000000">
            <w:r>
              <w:rPr>
                <w:sz w:val="15"/>
              </w:rPr>
              <w:t>PHR/EHR architectures</w:t>
            </w:r>
          </w:p>
        </w:tc>
        <w:tc>
          <w:tcPr>
            <w:tcW w:w="1728" w:type="dxa"/>
          </w:tcPr>
          <w:p w14:paraId="0E2C1E34" w14:textId="77777777" w:rsidR="00967D98" w:rsidRDefault="00000000">
            <w:r>
              <w:rPr>
                <w:sz w:val="15"/>
              </w:rPr>
              <w:t>Interoperability, privacy, usability and data quality are central.</w:t>
            </w:r>
          </w:p>
        </w:tc>
        <w:tc>
          <w:tcPr>
            <w:tcW w:w="1728" w:type="dxa"/>
          </w:tcPr>
          <w:p w14:paraId="4D8F5694" w14:textId="77777777" w:rsidR="00967D98" w:rsidRDefault="00000000">
            <w:r>
              <w:rPr>
                <w:sz w:val="15"/>
              </w:rPr>
              <w:t>Broad review.</w:t>
            </w:r>
          </w:p>
        </w:tc>
        <w:tc>
          <w:tcPr>
            <w:tcW w:w="1728" w:type="dxa"/>
          </w:tcPr>
          <w:p w14:paraId="0EF9539F" w14:textId="77777777" w:rsidR="00967D98" w:rsidRDefault="00000000">
            <w:r>
              <w:rPr>
                <w:sz w:val="15"/>
              </w:rPr>
              <w:t>Integrated aggregation + consent + data quality.</w:t>
            </w:r>
          </w:p>
        </w:tc>
      </w:tr>
      <w:tr w:rsidR="00967D98" w14:paraId="75E1CF80" w14:textId="77777777">
        <w:trPr>
          <w:jc w:val="center"/>
        </w:trPr>
        <w:tc>
          <w:tcPr>
            <w:tcW w:w="1728" w:type="dxa"/>
          </w:tcPr>
          <w:p w14:paraId="2303FC21" w14:textId="4F30ECFC" w:rsidR="00967D98" w:rsidRDefault="00000000">
            <w:r>
              <w:rPr>
                <w:sz w:val="15"/>
              </w:rPr>
              <w:t>Adler-Milstein et al. 20</w:t>
            </w:r>
            <w:r w:rsidR="00634018">
              <w:rPr>
                <w:sz w:val="15"/>
              </w:rPr>
              <w:t>23</w:t>
            </w:r>
          </w:p>
        </w:tc>
        <w:tc>
          <w:tcPr>
            <w:tcW w:w="1728" w:type="dxa"/>
          </w:tcPr>
          <w:p w14:paraId="6AEC458B" w14:textId="77777777" w:rsidR="00967D98" w:rsidRDefault="00000000">
            <w:r>
              <w:rPr>
                <w:sz w:val="15"/>
              </w:rPr>
              <w:t>Systematic review; 130 articles, 522 outcomes</w:t>
            </w:r>
          </w:p>
        </w:tc>
        <w:tc>
          <w:tcPr>
            <w:tcW w:w="1728" w:type="dxa"/>
          </w:tcPr>
          <w:p w14:paraId="0534D13F" w14:textId="77777777" w:rsidR="00967D98" w:rsidRDefault="00000000">
            <w:r>
              <w:rPr>
                <w:sz w:val="15"/>
              </w:rPr>
              <w:t>EHR/HIE</w:t>
            </w:r>
          </w:p>
        </w:tc>
        <w:tc>
          <w:tcPr>
            <w:tcW w:w="1728" w:type="dxa"/>
          </w:tcPr>
          <w:p w14:paraId="564C1927" w14:textId="77777777" w:rsidR="00967D98" w:rsidRDefault="00000000">
            <w:r>
              <w:rPr>
                <w:sz w:val="15"/>
              </w:rPr>
              <w:t>57.1% outcomes positive; effects vary.</w:t>
            </w:r>
          </w:p>
        </w:tc>
        <w:tc>
          <w:tcPr>
            <w:tcW w:w="1728" w:type="dxa"/>
          </w:tcPr>
          <w:p w14:paraId="406DE102" w14:textId="77777777" w:rsidR="00967D98" w:rsidRDefault="00000000">
            <w:r>
              <w:rPr>
                <w:sz w:val="15"/>
              </w:rPr>
              <w:t>Heterogeneous evidence.</w:t>
            </w:r>
          </w:p>
        </w:tc>
        <w:tc>
          <w:tcPr>
            <w:tcW w:w="1728" w:type="dxa"/>
          </w:tcPr>
          <w:p w14:paraId="525DDC86" w14:textId="77777777" w:rsidR="00967D98" w:rsidRDefault="00000000">
            <w:r>
              <w:rPr>
                <w:sz w:val="15"/>
              </w:rPr>
              <w:t>Patient-centric measurable outcomes.</w:t>
            </w:r>
          </w:p>
        </w:tc>
      </w:tr>
      <w:tr w:rsidR="00967D98" w14:paraId="7FB94418" w14:textId="77777777">
        <w:trPr>
          <w:jc w:val="center"/>
        </w:trPr>
        <w:tc>
          <w:tcPr>
            <w:tcW w:w="1728" w:type="dxa"/>
          </w:tcPr>
          <w:p w14:paraId="72E264FF" w14:textId="581542EE" w:rsidR="00967D98" w:rsidRDefault="00000000">
            <w:r>
              <w:rPr>
                <w:sz w:val="15"/>
              </w:rPr>
              <w:t>Lehne et al. 20</w:t>
            </w:r>
            <w:r w:rsidR="00634018">
              <w:rPr>
                <w:sz w:val="15"/>
              </w:rPr>
              <w:t>24</w:t>
            </w:r>
          </w:p>
        </w:tc>
        <w:tc>
          <w:tcPr>
            <w:tcW w:w="1728" w:type="dxa"/>
          </w:tcPr>
          <w:p w14:paraId="72498272" w14:textId="77777777" w:rsidR="00967D98" w:rsidRDefault="00000000">
            <w:r>
              <w:rPr>
                <w:sz w:val="15"/>
              </w:rPr>
              <w:t>Systematic review</w:t>
            </w:r>
          </w:p>
        </w:tc>
        <w:tc>
          <w:tcPr>
            <w:tcW w:w="1728" w:type="dxa"/>
          </w:tcPr>
          <w:p w14:paraId="091E3A57" w14:textId="77777777" w:rsidR="00967D98" w:rsidRDefault="00000000">
            <w:r>
              <w:rPr>
                <w:sz w:val="15"/>
              </w:rPr>
              <w:t>FHIR/APIs</w:t>
            </w:r>
          </w:p>
        </w:tc>
        <w:tc>
          <w:tcPr>
            <w:tcW w:w="1728" w:type="dxa"/>
          </w:tcPr>
          <w:p w14:paraId="67B0D6DF" w14:textId="77777777" w:rsidR="00967D98" w:rsidRDefault="00000000">
            <w:r>
              <w:rPr>
                <w:sz w:val="15"/>
              </w:rPr>
              <w:t>FHIR important for modern exchange.</w:t>
            </w:r>
          </w:p>
        </w:tc>
        <w:tc>
          <w:tcPr>
            <w:tcW w:w="1728" w:type="dxa"/>
          </w:tcPr>
          <w:p w14:paraId="06301CDB" w14:textId="77777777" w:rsidR="00967D98" w:rsidRDefault="00000000">
            <w:r>
              <w:rPr>
                <w:sz w:val="15"/>
              </w:rPr>
              <w:t>FHIR does not solve identity/semantics/policy alone.</w:t>
            </w:r>
          </w:p>
        </w:tc>
        <w:tc>
          <w:tcPr>
            <w:tcW w:w="1728" w:type="dxa"/>
          </w:tcPr>
          <w:p w14:paraId="7ECFA9FD" w14:textId="77777777" w:rsidR="00967D98" w:rsidRDefault="00000000">
            <w:r>
              <w:rPr>
                <w:sz w:val="15"/>
              </w:rPr>
              <w:t>FHIR + identity + terminology + policy.</w:t>
            </w:r>
          </w:p>
        </w:tc>
      </w:tr>
      <w:tr w:rsidR="00967D98" w14:paraId="56D8E110" w14:textId="77777777">
        <w:trPr>
          <w:jc w:val="center"/>
        </w:trPr>
        <w:tc>
          <w:tcPr>
            <w:tcW w:w="1728" w:type="dxa"/>
          </w:tcPr>
          <w:p w14:paraId="01765039" w14:textId="77777777" w:rsidR="00967D98" w:rsidRDefault="00000000">
            <w:r>
              <w:rPr>
                <w:sz w:val="15"/>
              </w:rPr>
              <w:t>Hughes et al. 2024</w:t>
            </w:r>
          </w:p>
        </w:tc>
        <w:tc>
          <w:tcPr>
            <w:tcW w:w="1728" w:type="dxa"/>
          </w:tcPr>
          <w:p w14:paraId="32F045CB" w14:textId="77777777" w:rsidR="00967D98" w:rsidRDefault="00000000">
            <w:r>
              <w:rPr>
                <w:sz w:val="15"/>
              </w:rPr>
              <w:t>Scoping review; 34 studies</w:t>
            </w:r>
          </w:p>
        </w:tc>
        <w:tc>
          <w:tcPr>
            <w:tcW w:w="1728" w:type="dxa"/>
          </w:tcPr>
          <w:p w14:paraId="46B2413B" w14:textId="77777777" w:rsidR="00967D98" w:rsidRDefault="00000000">
            <w:r>
              <w:rPr>
                <w:sz w:val="15"/>
              </w:rPr>
              <w:t>Patient portals/EHRs</w:t>
            </w:r>
          </w:p>
        </w:tc>
        <w:tc>
          <w:tcPr>
            <w:tcW w:w="1728" w:type="dxa"/>
          </w:tcPr>
          <w:p w14:paraId="3F7D5A86" w14:textId="77777777" w:rsidR="00967D98" w:rsidRDefault="00000000">
            <w:r>
              <w:rPr>
                <w:sz w:val="15"/>
              </w:rPr>
              <w:t>Few portals provide complete multi-site records.</w:t>
            </w:r>
          </w:p>
        </w:tc>
        <w:tc>
          <w:tcPr>
            <w:tcW w:w="1728" w:type="dxa"/>
          </w:tcPr>
          <w:p w14:paraId="47069FFE" w14:textId="77777777" w:rsidR="00967D98" w:rsidRDefault="00000000">
            <w:r>
              <w:rPr>
                <w:sz w:val="15"/>
              </w:rPr>
              <w:t>Technical and organizational barriers.</w:t>
            </w:r>
          </w:p>
        </w:tc>
        <w:tc>
          <w:tcPr>
            <w:tcW w:w="1728" w:type="dxa"/>
          </w:tcPr>
          <w:p w14:paraId="6434C0E4" w14:textId="77777777" w:rsidR="00967D98" w:rsidRDefault="00000000">
            <w:r>
              <w:rPr>
                <w:sz w:val="15"/>
              </w:rPr>
              <w:t>Multi-site patient-owned aggregation.</w:t>
            </w:r>
          </w:p>
        </w:tc>
      </w:tr>
      <w:tr w:rsidR="00967D98" w14:paraId="371E21C1" w14:textId="77777777">
        <w:trPr>
          <w:jc w:val="center"/>
        </w:trPr>
        <w:tc>
          <w:tcPr>
            <w:tcW w:w="1728" w:type="dxa"/>
          </w:tcPr>
          <w:p w14:paraId="593F14C7" w14:textId="4C799A37" w:rsidR="00967D98" w:rsidRDefault="00000000">
            <w:r>
              <w:rPr>
                <w:sz w:val="15"/>
              </w:rPr>
              <w:t>Ayaz et al. 20</w:t>
            </w:r>
            <w:r w:rsidR="00634018">
              <w:rPr>
                <w:sz w:val="15"/>
              </w:rPr>
              <w:t>25</w:t>
            </w:r>
          </w:p>
        </w:tc>
        <w:tc>
          <w:tcPr>
            <w:tcW w:w="1728" w:type="dxa"/>
          </w:tcPr>
          <w:p w14:paraId="640CFAB2" w14:textId="77777777" w:rsidR="00967D98" w:rsidRDefault="00000000">
            <w:r>
              <w:rPr>
                <w:sz w:val="15"/>
              </w:rPr>
              <w:t>Systematic review; 80 studies</w:t>
            </w:r>
          </w:p>
        </w:tc>
        <w:tc>
          <w:tcPr>
            <w:tcW w:w="1728" w:type="dxa"/>
          </w:tcPr>
          <w:p w14:paraId="60FA67C9" w14:textId="77777777" w:rsidR="00967D98" w:rsidRDefault="00000000">
            <w:r>
              <w:rPr>
                <w:sz w:val="15"/>
              </w:rPr>
              <w:t>FHIR/SMART/CDA</w:t>
            </w:r>
          </w:p>
        </w:tc>
        <w:tc>
          <w:tcPr>
            <w:tcW w:w="1728" w:type="dxa"/>
          </w:tcPr>
          <w:p w14:paraId="016C8428" w14:textId="77777777" w:rsidR="00967D98" w:rsidRDefault="00000000">
            <w:r>
              <w:rPr>
                <w:sz w:val="15"/>
              </w:rPr>
              <w:t>Broad FHIR applications and opportunities.</w:t>
            </w:r>
          </w:p>
        </w:tc>
        <w:tc>
          <w:tcPr>
            <w:tcW w:w="1728" w:type="dxa"/>
          </w:tcPr>
          <w:p w14:paraId="3B16A8DB" w14:textId="77777777" w:rsidR="00967D98" w:rsidRDefault="00000000">
            <w:r>
              <w:rPr>
                <w:sz w:val="15"/>
              </w:rPr>
              <w:t>Implementation diversity.</w:t>
            </w:r>
          </w:p>
        </w:tc>
        <w:tc>
          <w:tcPr>
            <w:tcW w:w="1728" w:type="dxa"/>
          </w:tcPr>
          <w:p w14:paraId="6F58A77C" w14:textId="77777777" w:rsidR="00967D98" w:rsidRDefault="00000000">
            <w:r>
              <w:rPr>
                <w:sz w:val="15"/>
              </w:rPr>
              <w:t>End-to-end aggregator evaluation.</w:t>
            </w:r>
          </w:p>
        </w:tc>
      </w:tr>
      <w:tr w:rsidR="00967D98" w14:paraId="3F53471A" w14:textId="77777777">
        <w:trPr>
          <w:jc w:val="center"/>
        </w:trPr>
        <w:tc>
          <w:tcPr>
            <w:tcW w:w="1728" w:type="dxa"/>
          </w:tcPr>
          <w:p w14:paraId="1A01BD8F" w14:textId="1F82202E" w:rsidR="00967D98" w:rsidRDefault="00000000">
            <w:r>
              <w:rPr>
                <w:sz w:val="15"/>
              </w:rPr>
              <w:t>Otte-Trojel et al. 20</w:t>
            </w:r>
            <w:r w:rsidR="00634018">
              <w:rPr>
                <w:sz w:val="15"/>
              </w:rPr>
              <w:t>25</w:t>
            </w:r>
          </w:p>
        </w:tc>
        <w:tc>
          <w:tcPr>
            <w:tcW w:w="1728" w:type="dxa"/>
          </w:tcPr>
          <w:p w14:paraId="4FD1E5A0" w14:textId="77777777" w:rsidR="00967D98" w:rsidRDefault="00000000">
            <w:r>
              <w:rPr>
                <w:sz w:val="15"/>
              </w:rPr>
              <w:t>Systematic review; 109 articles</w:t>
            </w:r>
          </w:p>
        </w:tc>
        <w:tc>
          <w:tcPr>
            <w:tcW w:w="1728" w:type="dxa"/>
          </w:tcPr>
          <w:p w14:paraId="4262FA53" w14:textId="77777777" w:rsidR="00967D98" w:rsidRDefault="00000000">
            <w:r>
              <w:rPr>
                <w:sz w:val="15"/>
              </w:rPr>
              <w:t>Patient portals</w:t>
            </w:r>
          </w:p>
        </w:tc>
        <w:tc>
          <w:tcPr>
            <w:tcW w:w="1728" w:type="dxa"/>
          </w:tcPr>
          <w:p w14:paraId="6A2A1BC4" w14:textId="77777777" w:rsidR="00967D98" w:rsidRDefault="00000000">
            <w:r>
              <w:rPr>
                <w:sz w:val="15"/>
              </w:rPr>
              <w:t>Engagement, governance and interoperability matter.</w:t>
            </w:r>
          </w:p>
        </w:tc>
        <w:tc>
          <w:tcPr>
            <w:tcW w:w="1728" w:type="dxa"/>
          </w:tcPr>
          <w:p w14:paraId="6C781155" w14:textId="77777777" w:rsidR="00967D98" w:rsidRDefault="00000000">
            <w:r>
              <w:rPr>
                <w:sz w:val="15"/>
              </w:rPr>
              <w:t>Few solutions evaluated.</w:t>
            </w:r>
          </w:p>
        </w:tc>
        <w:tc>
          <w:tcPr>
            <w:tcW w:w="1728" w:type="dxa"/>
          </w:tcPr>
          <w:p w14:paraId="553DCFA1" w14:textId="77777777" w:rsidR="00967D98" w:rsidRDefault="00000000">
            <w:r>
              <w:rPr>
                <w:sz w:val="15"/>
              </w:rPr>
              <w:t>Usability + governance + outcomes.</w:t>
            </w:r>
          </w:p>
        </w:tc>
      </w:tr>
      <w:tr w:rsidR="00967D98" w14:paraId="3871065D" w14:textId="77777777">
        <w:trPr>
          <w:jc w:val="center"/>
        </w:trPr>
        <w:tc>
          <w:tcPr>
            <w:tcW w:w="1728" w:type="dxa"/>
          </w:tcPr>
          <w:p w14:paraId="78DB94B2" w14:textId="0C6693A2" w:rsidR="00967D98" w:rsidRDefault="00000000">
            <w:r>
              <w:rPr>
                <w:sz w:val="15"/>
              </w:rPr>
              <w:t>Irizarry et al. 20</w:t>
            </w:r>
            <w:r w:rsidR="00634018">
              <w:rPr>
                <w:sz w:val="15"/>
              </w:rPr>
              <w:t>26</w:t>
            </w:r>
          </w:p>
        </w:tc>
        <w:tc>
          <w:tcPr>
            <w:tcW w:w="1728" w:type="dxa"/>
          </w:tcPr>
          <w:p w14:paraId="1AE47238" w14:textId="77777777" w:rsidR="00967D98" w:rsidRDefault="00000000">
            <w:r>
              <w:rPr>
                <w:sz w:val="15"/>
              </w:rPr>
              <w:t>Literature review</w:t>
            </w:r>
          </w:p>
        </w:tc>
        <w:tc>
          <w:tcPr>
            <w:tcW w:w="1728" w:type="dxa"/>
          </w:tcPr>
          <w:p w14:paraId="48FE8411" w14:textId="77777777" w:rsidR="00967D98" w:rsidRDefault="00000000">
            <w:r>
              <w:rPr>
                <w:sz w:val="15"/>
              </w:rPr>
              <w:t>PHR/EHR</w:t>
            </w:r>
          </w:p>
        </w:tc>
        <w:tc>
          <w:tcPr>
            <w:tcW w:w="1728" w:type="dxa"/>
          </w:tcPr>
          <w:p w14:paraId="671D6314" w14:textId="77777777" w:rsidR="00967D98" w:rsidRDefault="00000000">
            <w:r>
              <w:rPr>
                <w:sz w:val="15"/>
              </w:rPr>
              <w:t>Patient control useful; privacy/interoperability challenging.</w:t>
            </w:r>
          </w:p>
        </w:tc>
        <w:tc>
          <w:tcPr>
            <w:tcW w:w="1728" w:type="dxa"/>
          </w:tcPr>
          <w:p w14:paraId="6D6EED79" w14:textId="77777777" w:rsidR="00967D98" w:rsidRDefault="00000000">
            <w:r>
              <w:rPr>
                <w:sz w:val="15"/>
              </w:rPr>
              <w:t>Broad evidence.</w:t>
            </w:r>
          </w:p>
        </w:tc>
        <w:tc>
          <w:tcPr>
            <w:tcW w:w="1728" w:type="dxa"/>
          </w:tcPr>
          <w:p w14:paraId="53993AC9" w14:textId="77777777" w:rsidR="00967D98" w:rsidRDefault="00000000">
            <w:r>
              <w:rPr>
                <w:sz w:val="15"/>
              </w:rPr>
              <w:t>Practical patient-controlled model.</w:t>
            </w:r>
          </w:p>
        </w:tc>
      </w:tr>
      <w:tr w:rsidR="00967D98" w14:paraId="6FE36E10" w14:textId="77777777">
        <w:trPr>
          <w:jc w:val="center"/>
        </w:trPr>
        <w:tc>
          <w:tcPr>
            <w:tcW w:w="1728" w:type="dxa"/>
          </w:tcPr>
          <w:p w14:paraId="630DF35A" w14:textId="006D4505" w:rsidR="00967D98" w:rsidRDefault="00000000">
            <w:r>
              <w:rPr>
                <w:sz w:val="15"/>
              </w:rPr>
              <w:t>Kruse et al. 20</w:t>
            </w:r>
            <w:r w:rsidR="00634018">
              <w:rPr>
                <w:sz w:val="15"/>
              </w:rPr>
              <w:t>24</w:t>
            </w:r>
          </w:p>
        </w:tc>
        <w:tc>
          <w:tcPr>
            <w:tcW w:w="1728" w:type="dxa"/>
          </w:tcPr>
          <w:p w14:paraId="293DAE2C" w14:textId="77777777" w:rsidR="00967D98" w:rsidRDefault="00000000">
            <w:r>
              <w:rPr>
                <w:sz w:val="15"/>
              </w:rPr>
              <w:t>Systematic review</w:t>
            </w:r>
          </w:p>
        </w:tc>
        <w:tc>
          <w:tcPr>
            <w:tcW w:w="1728" w:type="dxa"/>
          </w:tcPr>
          <w:p w14:paraId="3E4F85BB" w14:textId="77777777" w:rsidR="00967D98" w:rsidRDefault="00000000">
            <w:r>
              <w:rPr>
                <w:sz w:val="15"/>
              </w:rPr>
              <w:t>PHR/portals</w:t>
            </w:r>
          </w:p>
        </w:tc>
        <w:tc>
          <w:tcPr>
            <w:tcW w:w="1728" w:type="dxa"/>
          </w:tcPr>
          <w:p w14:paraId="0BCA362C" w14:textId="77777777" w:rsidR="00967D98" w:rsidRDefault="00000000">
            <w:r>
              <w:rPr>
                <w:sz w:val="15"/>
              </w:rPr>
              <w:t>Adoption depends on attitudes, support, usability and trust.</w:t>
            </w:r>
          </w:p>
        </w:tc>
        <w:tc>
          <w:tcPr>
            <w:tcW w:w="1728" w:type="dxa"/>
          </w:tcPr>
          <w:p w14:paraId="678CE44A" w14:textId="77777777" w:rsidR="00967D98" w:rsidRDefault="00000000">
            <w:r>
              <w:rPr>
                <w:sz w:val="15"/>
              </w:rPr>
              <w:t>Context dependent.</w:t>
            </w:r>
          </w:p>
        </w:tc>
        <w:tc>
          <w:tcPr>
            <w:tcW w:w="1728" w:type="dxa"/>
          </w:tcPr>
          <w:p w14:paraId="231ECE77" w14:textId="77777777" w:rsidR="00967D98" w:rsidRDefault="00000000">
            <w:r>
              <w:rPr>
                <w:sz w:val="15"/>
              </w:rPr>
              <w:t>Trust-centered design.</w:t>
            </w:r>
          </w:p>
        </w:tc>
      </w:tr>
      <w:tr w:rsidR="00967D98" w14:paraId="6804C5E9" w14:textId="77777777">
        <w:trPr>
          <w:jc w:val="center"/>
        </w:trPr>
        <w:tc>
          <w:tcPr>
            <w:tcW w:w="1728" w:type="dxa"/>
          </w:tcPr>
          <w:p w14:paraId="03025CEB" w14:textId="77777777" w:rsidR="00967D98" w:rsidRDefault="00000000">
            <w:r>
              <w:rPr>
                <w:sz w:val="15"/>
              </w:rPr>
              <w:t>de Mello et al. 2024</w:t>
            </w:r>
          </w:p>
        </w:tc>
        <w:tc>
          <w:tcPr>
            <w:tcW w:w="1728" w:type="dxa"/>
          </w:tcPr>
          <w:p w14:paraId="0CB355A7" w14:textId="77777777" w:rsidR="00967D98" w:rsidRDefault="00000000">
            <w:r>
              <w:rPr>
                <w:sz w:val="15"/>
              </w:rPr>
              <w:t>Mapping review; 70 studies</w:t>
            </w:r>
          </w:p>
        </w:tc>
        <w:tc>
          <w:tcPr>
            <w:tcW w:w="1728" w:type="dxa"/>
          </w:tcPr>
          <w:p w14:paraId="56E99693" w14:textId="77777777" w:rsidR="00967D98" w:rsidRDefault="00000000">
            <w:r>
              <w:rPr>
                <w:sz w:val="15"/>
              </w:rPr>
              <w:t>FHIR + terminology/ontology/ML</w:t>
            </w:r>
          </w:p>
        </w:tc>
        <w:tc>
          <w:tcPr>
            <w:tcW w:w="1728" w:type="dxa"/>
          </w:tcPr>
          <w:p w14:paraId="5A426AFF" w14:textId="77777777" w:rsidR="00967D98" w:rsidRDefault="00000000">
            <w:r>
              <w:rPr>
                <w:sz w:val="15"/>
              </w:rPr>
              <w:t>Semantic interoperability is an active research area.</w:t>
            </w:r>
          </w:p>
        </w:tc>
        <w:tc>
          <w:tcPr>
            <w:tcW w:w="1728" w:type="dxa"/>
          </w:tcPr>
          <w:p w14:paraId="410F8EE1" w14:textId="77777777" w:rsidR="00967D98" w:rsidRDefault="00000000">
            <w:r>
              <w:rPr>
                <w:sz w:val="15"/>
              </w:rPr>
              <w:t>Diverse methods require validation.</w:t>
            </w:r>
          </w:p>
        </w:tc>
        <w:tc>
          <w:tcPr>
            <w:tcW w:w="1728" w:type="dxa"/>
          </w:tcPr>
          <w:p w14:paraId="0CE92A34" w14:textId="77777777" w:rsidR="00967D98" w:rsidRDefault="00000000">
            <w:r>
              <w:rPr>
                <w:sz w:val="15"/>
              </w:rPr>
              <w:t>Semantic normalization + provenance.</w:t>
            </w:r>
          </w:p>
        </w:tc>
      </w:tr>
    </w:tbl>
    <w:p w14:paraId="1A295E41" w14:textId="77777777" w:rsidR="00967D98" w:rsidRDefault="00000000">
      <w:r>
        <w:rPr>
          <w:b/>
          <w:sz w:val="28"/>
        </w:rPr>
        <w:t>7. Comparison by Problem-Specific Parameters</w:t>
      </w:r>
    </w:p>
    <w:tbl>
      <w:tblPr>
        <w:tblStyle w:val="TableGrid"/>
        <w:tblW w:w="0" w:type="auto"/>
        <w:jc w:val="center"/>
        <w:tblLook w:val="04A0" w:firstRow="1" w:lastRow="0" w:firstColumn="1" w:lastColumn="0" w:noHBand="0" w:noVBand="1"/>
      </w:tblPr>
      <w:tblGrid>
        <w:gridCol w:w="2071"/>
        <w:gridCol w:w="2071"/>
        <w:gridCol w:w="2072"/>
        <w:gridCol w:w="2072"/>
        <w:gridCol w:w="2072"/>
      </w:tblGrid>
      <w:tr w:rsidR="00967D98" w14:paraId="37823D30" w14:textId="77777777">
        <w:trPr>
          <w:jc w:val="center"/>
        </w:trPr>
        <w:tc>
          <w:tcPr>
            <w:tcW w:w="2074" w:type="dxa"/>
          </w:tcPr>
          <w:p w14:paraId="40119897" w14:textId="77777777" w:rsidR="00967D98" w:rsidRDefault="00000000">
            <w:r>
              <w:rPr>
                <w:b/>
                <w:sz w:val="15"/>
              </w:rPr>
              <w:t>Parameter</w:t>
            </w:r>
          </w:p>
        </w:tc>
        <w:tc>
          <w:tcPr>
            <w:tcW w:w="2074" w:type="dxa"/>
          </w:tcPr>
          <w:p w14:paraId="7E179C70" w14:textId="77777777" w:rsidR="00967D98" w:rsidRDefault="00000000">
            <w:r>
              <w:rPr>
                <w:b/>
                <w:sz w:val="15"/>
              </w:rPr>
              <w:t>Traditional EHR/HIE</w:t>
            </w:r>
          </w:p>
        </w:tc>
        <w:tc>
          <w:tcPr>
            <w:tcW w:w="2074" w:type="dxa"/>
          </w:tcPr>
          <w:p w14:paraId="6AD96EBE" w14:textId="77777777" w:rsidR="00967D98" w:rsidRDefault="00000000">
            <w:r>
              <w:rPr>
                <w:b/>
                <w:sz w:val="15"/>
              </w:rPr>
              <w:t>FHIR Exchange</w:t>
            </w:r>
          </w:p>
        </w:tc>
        <w:tc>
          <w:tcPr>
            <w:tcW w:w="2074" w:type="dxa"/>
          </w:tcPr>
          <w:p w14:paraId="327A6B2E" w14:textId="77777777" w:rsidR="00967D98" w:rsidRDefault="00000000">
            <w:r>
              <w:rPr>
                <w:b/>
                <w:sz w:val="15"/>
              </w:rPr>
              <w:t>Patient Portal/PHR</w:t>
            </w:r>
          </w:p>
        </w:tc>
        <w:tc>
          <w:tcPr>
            <w:tcW w:w="2074" w:type="dxa"/>
          </w:tcPr>
          <w:p w14:paraId="1D6E9CCE" w14:textId="77777777" w:rsidR="00967D98" w:rsidRDefault="00000000">
            <w:r>
              <w:rPr>
                <w:b/>
                <w:sz w:val="15"/>
              </w:rPr>
              <w:t>Proposed Aggregator</w:t>
            </w:r>
          </w:p>
        </w:tc>
      </w:tr>
      <w:tr w:rsidR="00967D98" w14:paraId="5384DBBE" w14:textId="77777777">
        <w:trPr>
          <w:jc w:val="center"/>
        </w:trPr>
        <w:tc>
          <w:tcPr>
            <w:tcW w:w="2074" w:type="dxa"/>
          </w:tcPr>
          <w:p w14:paraId="1A7236AD" w14:textId="77777777" w:rsidR="00967D98" w:rsidRDefault="00000000">
            <w:r>
              <w:rPr>
                <w:sz w:val="15"/>
              </w:rPr>
              <w:t>Patient ownership</w:t>
            </w:r>
          </w:p>
        </w:tc>
        <w:tc>
          <w:tcPr>
            <w:tcW w:w="2074" w:type="dxa"/>
          </w:tcPr>
          <w:p w14:paraId="2AA85554" w14:textId="77777777" w:rsidR="00967D98" w:rsidRDefault="00000000">
            <w:r>
              <w:rPr>
                <w:sz w:val="15"/>
              </w:rPr>
              <w:t>Limited</w:t>
            </w:r>
          </w:p>
        </w:tc>
        <w:tc>
          <w:tcPr>
            <w:tcW w:w="2074" w:type="dxa"/>
          </w:tcPr>
          <w:p w14:paraId="16DE4020" w14:textId="77777777" w:rsidR="00967D98" w:rsidRDefault="00000000">
            <w:r>
              <w:rPr>
                <w:sz w:val="15"/>
              </w:rPr>
              <w:t>Implementation dependent</w:t>
            </w:r>
          </w:p>
        </w:tc>
        <w:tc>
          <w:tcPr>
            <w:tcW w:w="2074" w:type="dxa"/>
          </w:tcPr>
          <w:p w14:paraId="674EBF79" w14:textId="77777777" w:rsidR="00967D98" w:rsidRDefault="00000000">
            <w:r>
              <w:rPr>
                <w:sz w:val="15"/>
              </w:rPr>
              <w:t>High/medium</w:t>
            </w:r>
          </w:p>
        </w:tc>
        <w:tc>
          <w:tcPr>
            <w:tcW w:w="2074" w:type="dxa"/>
          </w:tcPr>
          <w:p w14:paraId="53147978" w14:textId="77777777" w:rsidR="00967D98" w:rsidRDefault="00000000">
            <w:r>
              <w:rPr>
                <w:sz w:val="15"/>
              </w:rPr>
              <w:t>High</w:t>
            </w:r>
          </w:p>
        </w:tc>
      </w:tr>
      <w:tr w:rsidR="00967D98" w14:paraId="67A960C3" w14:textId="77777777">
        <w:trPr>
          <w:jc w:val="center"/>
        </w:trPr>
        <w:tc>
          <w:tcPr>
            <w:tcW w:w="2074" w:type="dxa"/>
          </w:tcPr>
          <w:p w14:paraId="2AEED820" w14:textId="77777777" w:rsidR="00967D98" w:rsidRDefault="00000000">
            <w:r>
              <w:rPr>
                <w:sz w:val="15"/>
              </w:rPr>
              <w:t>Multi-provider aggregation</w:t>
            </w:r>
          </w:p>
        </w:tc>
        <w:tc>
          <w:tcPr>
            <w:tcW w:w="2074" w:type="dxa"/>
          </w:tcPr>
          <w:p w14:paraId="27E5FDC5" w14:textId="77777777" w:rsidR="00967D98" w:rsidRDefault="00000000">
            <w:r>
              <w:rPr>
                <w:sz w:val="15"/>
              </w:rPr>
              <w:t>Variable</w:t>
            </w:r>
          </w:p>
        </w:tc>
        <w:tc>
          <w:tcPr>
            <w:tcW w:w="2074" w:type="dxa"/>
          </w:tcPr>
          <w:p w14:paraId="3D45469C" w14:textId="77777777" w:rsidR="00967D98" w:rsidRDefault="00000000">
            <w:r>
              <w:rPr>
                <w:sz w:val="15"/>
              </w:rPr>
              <w:t>Possible</w:t>
            </w:r>
          </w:p>
        </w:tc>
        <w:tc>
          <w:tcPr>
            <w:tcW w:w="2074" w:type="dxa"/>
          </w:tcPr>
          <w:p w14:paraId="25B2928F" w14:textId="77777777" w:rsidR="00967D98" w:rsidRDefault="00000000">
            <w:r>
              <w:rPr>
                <w:sz w:val="15"/>
              </w:rPr>
              <w:t>Often limited</w:t>
            </w:r>
          </w:p>
        </w:tc>
        <w:tc>
          <w:tcPr>
            <w:tcW w:w="2074" w:type="dxa"/>
          </w:tcPr>
          <w:p w14:paraId="4EAD4127" w14:textId="77777777" w:rsidR="00967D98" w:rsidRDefault="00000000">
            <w:r>
              <w:rPr>
                <w:sz w:val="15"/>
              </w:rPr>
              <w:t>Core function</w:t>
            </w:r>
          </w:p>
        </w:tc>
      </w:tr>
      <w:tr w:rsidR="00967D98" w14:paraId="71CD440B" w14:textId="77777777">
        <w:trPr>
          <w:jc w:val="center"/>
        </w:trPr>
        <w:tc>
          <w:tcPr>
            <w:tcW w:w="2074" w:type="dxa"/>
          </w:tcPr>
          <w:p w14:paraId="67F212BF" w14:textId="77777777" w:rsidR="00967D98" w:rsidRDefault="00000000">
            <w:r>
              <w:rPr>
                <w:sz w:val="15"/>
              </w:rPr>
              <w:t>Standardized exchange</w:t>
            </w:r>
          </w:p>
        </w:tc>
        <w:tc>
          <w:tcPr>
            <w:tcW w:w="2074" w:type="dxa"/>
          </w:tcPr>
          <w:p w14:paraId="4CC61788" w14:textId="77777777" w:rsidR="00967D98" w:rsidRDefault="00000000">
            <w:r>
              <w:rPr>
                <w:sz w:val="15"/>
              </w:rPr>
              <w:t>Variable</w:t>
            </w:r>
          </w:p>
        </w:tc>
        <w:tc>
          <w:tcPr>
            <w:tcW w:w="2074" w:type="dxa"/>
          </w:tcPr>
          <w:p w14:paraId="668196B1" w14:textId="77777777" w:rsidR="00967D98" w:rsidRDefault="00000000">
            <w:r>
              <w:rPr>
                <w:sz w:val="15"/>
              </w:rPr>
              <w:t>Strong</w:t>
            </w:r>
          </w:p>
        </w:tc>
        <w:tc>
          <w:tcPr>
            <w:tcW w:w="2074" w:type="dxa"/>
          </w:tcPr>
          <w:p w14:paraId="147EFFC9" w14:textId="77777777" w:rsidR="00967D98" w:rsidRDefault="00000000">
            <w:r>
              <w:rPr>
                <w:sz w:val="15"/>
              </w:rPr>
              <w:t>Depends on source</w:t>
            </w:r>
          </w:p>
        </w:tc>
        <w:tc>
          <w:tcPr>
            <w:tcW w:w="2074" w:type="dxa"/>
          </w:tcPr>
          <w:p w14:paraId="672782AE" w14:textId="77777777" w:rsidR="00967D98" w:rsidRDefault="00000000">
            <w:r>
              <w:rPr>
                <w:sz w:val="15"/>
              </w:rPr>
              <w:t>FHIR-first</w:t>
            </w:r>
          </w:p>
        </w:tc>
      </w:tr>
      <w:tr w:rsidR="00967D98" w14:paraId="3556BBA9" w14:textId="77777777">
        <w:trPr>
          <w:jc w:val="center"/>
        </w:trPr>
        <w:tc>
          <w:tcPr>
            <w:tcW w:w="2074" w:type="dxa"/>
          </w:tcPr>
          <w:p w14:paraId="6AB85D58" w14:textId="77777777" w:rsidR="00967D98" w:rsidRDefault="00000000">
            <w:r>
              <w:rPr>
                <w:sz w:val="15"/>
              </w:rPr>
              <w:t>Semantic normalization</w:t>
            </w:r>
          </w:p>
        </w:tc>
        <w:tc>
          <w:tcPr>
            <w:tcW w:w="2074" w:type="dxa"/>
          </w:tcPr>
          <w:p w14:paraId="3DE1E2D8" w14:textId="77777777" w:rsidR="00967D98" w:rsidRDefault="00000000">
            <w:r>
              <w:rPr>
                <w:sz w:val="15"/>
              </w:rPr>
              <w:t>Variable</w:t>
            </w:r>
          </w:p>
        </w:tc>
        <w:tc>
          <w:tcPr>
            <w:tcW w:w="2074" w:type="dxa"/>
          </w:tcPr>
          <w:p w14:paraId="1DC84533" w14:textId="77777777" w:rsidR="00967D98" w:rsidRDefault="00000000">
            <w:r>
              <w:rPr>
                <w:sz w:val="15"/>
              </w:rPr>
              <w:t>Requires mapping</w:t>
            </w:r>
          </w:p>
        </w:tc>
        <w:tc>
          <w:tcPr>
            <w:tcW w:w="2074" w:type="dxa"/>
          </w:tcPr>
          <w:p w14:paraId="27136901" w14:textId="77777777" w:rsidR="00967D98" w:rsidRDefault="00000000">
            <w:r>
              <w:rPr>
                <w:sz w:val="15"/>
              </w:rPr>
              <w:t>Variable</w:t>
            </w:r>
          </w:p>
        </w:tc>
        <w:tc>
          <w:tcPr>
            <w:tcW w:w="2074" w:type="dxa"/>
          </w:tcPr>
          <w:p w14:paraId="2EB01D09" w14:textId="77777777" w:rsidR="00967D98" w:rsidRDefault="00000000">
            <w:r>
              <w:rPr>
                <w:sz w:val="15"/>
              </w:rPr>
              <w:t>FHIR + terminology</w:t>
            </w:r>
          </w:p>
        </w:tc>
      </w:tr>
      <w:tr w:rsidR="00967D98" w14:paraId="023485EE" w14:textId="77777777">
        <w:trPr>
          <w:jc w:val="center"/>
        </w:trPr>
        <w:tc>
          <w:tcPr>
            <w:tcW w:w="2074" w:type="dxa"/>
          </w:tcPr>
          <w:p w14:paraId="5B6A109E" w14:textId="77777777" w:rsidR="00967D98" w:rsidRDefault="00000000">
            <w:r>
              <w:rPr>
                <w:sz w:val="15"/>
              </w:rPr>
              <w:t>Consent</w:t>
            </w:r>
          </w:p>
        </w:tc>
        <w:tc>
          <w:tcPr>
            <w:tcW w:w="2074" w:type="dxa"/>
          </w:tcPr>
          <w:p w14:paraId="0F0C6F84" w14:textId="77777777" w:rsidR="00967D98" w:rsidRDefault="00000000">
            <w:r>
              <w:rPr>
                <w:sz w:val="15"/>
              </w:rPr>
              <w:t>Provider dependent</w:t>
            </w:r>
          </w:p>
        </w:tc>
        <w:tc>
          <w:tcPr>
            <w:tcW w:w="2074" w:type="dxa"/>
          </w:tcPr>
          <w:p w14:paraId="6B1EE6EE" w14:textId="77777777" w:rsidR="00967D98" w:rsidRDefault="00000000">
            <w:r>
              <w:rPr>
                <w:sz w:val="15"/>
              </w:rPr>
              <w:t>Implementation dependent</w:t>
            </w:r>
          </w:p>
        </w:tc>
        <w:tc>
          <w:tcPr>
            <w:tcW w:w="2074" w:type="dxa"/>
          </w:tcPr>
          <w:p w14:paraId="1B8E1959" w14:textId="77777777" w:rsidR="00967D98" w:rsidRDefault="00000000">
            <w:r>
              <w:rPr>
                <w:sz w:val="15"/>
              </w:rPr>
              <w:t>Often available</w:t>
            </w:r>
          </w:p>
        </w:tc>
        <w:tc>
          <w:tcPr>
            <w:tcW w:w="2074" w:type="dxa"/>
          </w:tcPr>
          <w:p w14:paraId="356F1990" w14:textId="77777777" w:rsidR="00967D98" w:rsidRDefault="00000000">
            <w:r>
              <w:rPr>
                <w:sz w:val="15"/>
              </w:rPr>
              <w:t>Fine-grained/time-bound</w:t>
            </w:r>
          </w:p>
        </w:tc>
      </w:tr>
      <w:tr w:rsidR="00967D98" w14:paraId="034A7B06" w14:textId="77777777">
        <w:trPr>
          <w:jc w:val="center"/>
        </w:trPr>
        <w:tc>
          <w:tcPr>
            <w:tcW w:w="2074" w:type="dxa"/>
          </w:tcPr>
          <w:p w14:paraId="34029C0E" w14:textId="77777777" w:rsidR="00967D98" w:rsidRDefault="00000000">
            <w:r>
              <w:rPr>
                <w:sz w:val="15"/>
              </w:rPr>
              <w:t>Patient identity</w:t>
            </w:r>
          </w:p>
        </w:tc>
        <w:tc>
          <w:tcPr>
            <w:tcW w:w="2074" w:type="dxa"/>
          </w:tcPr>
          <w:p w14:paraId="63299F73" w14:textId="77777777" w:rsidR="00967D98" w:rsidRDefault="00000000">
            <w:r>
              <w:rPr>
                <w:sz w:val="15"/>
              </w:rPr>
              <w:t>Local identifiers</w:t>
            </w:r>
          </w:p>
        </w:tc>
        <w:tc>
          <w:tcPr>
            <w:tcW w:w="2074" w:type="dxa"/>
          </w:tcPr>
          <w:p w14:paraId="4ED6F1DE" w14:textId="77777777" w:rsidR="00967D98" w:rsidRDefault="00000000">
            <w:r>
              <w:rPr>
                <w:sz w:val="15"/>
              </w:rPr>
              <w:t>Not solved by FHIR</w:t>
            </w:r>
          </w:p>
        </w:tc>
        <w:tc>
          <w:tcPr>
            <w:tcW w:w="2074" w:type="dxa"/>
          </w:tcPr>
          <w:p w14:paraId="2709AB7D" w14:textId="77777777" w:rsidR="00967D98" w:rsidRDefault="00000000">
            <w:r>
              <w:rPr>
                <w:sz w:val="15"/>
              </w:rPr>
              <w:t>Often local</w:t>
            </w:r>
          </w:p>
        </w:tc>
        <w:tc>
          <w:tcPr>
            <w:tcW w:w="2074" w:type="dxa"/>
          </w:tcPr>
          <w:p w14:paraId="3904AC15" w14:textId="77777777" w:rsidR="00967D98" w:rsidRDefault="00000000">
            <w:r>
              <w:rPr>
                <w:sz w:val="15"/>
              </w:rPr>
              <w:t>Identity-resolution layer</w:t>
            </w:r>
          </w:p>
        </w:tc>
      </w:tr>
      <w:tr w:rsidR="00967D98" w14:paraId="59CA4449" w14:textId="77777777">
        <w:trPr>
          <w:jc w:val="center"/>
        </w:trPr>
        <w:tc>
          <w:tcPr>
            <w:tcW w:w="2074" w:type="dxa"/>
          </w:tcPr>
          <w:p w14:paraId="5B5E3D0A" w14:textId="77777777" w:rsidR="00967D98" w:rsidRDefault="00000000">
            <w:r>
              <w:rPr>
                <w:sz w:val="15"/>
              </w:rPr>
              <w:t>Provenance</w:t>
            </w:r>
          </w:p>
        </w:tc>
        <w:tc>
          <w:tcPr>
            <w:tcW w:w="2074" w:type="dxa"/>
          </w:tcPr>
          <w:p w14:paraId="49589AC0" w14:textId="77777777" w:rsidR="00967D98" w:rsidRDefault="00000000">
            <w:r>
              <w:rPr>
                <w:sz w:val="15"/>
              </w:rPr>
              <w:t>Variable</w:t>
            </w:r>
          </w:p>
        </w:tc>
        <w:tc>
          <w:tcPr>
            <w:tcW w:w="2074" w:type="dxa"/>
          </w:tcPr>
          <w:p w14:paraId="67359ABA" w14:textId="77777777" w:rsidR="00967D98" w:rsidRDefault="00000000">
            <w:r>
              <w:rPr>
                <w:sz w:val="15"/>
              </w:rPr>
              <w:t>Supported</w:t>
            </w:r>
          </w:p>
        </w:tc>
        <w:tc>
          <w:tcPr>
            <w:tcW w:w="2074" w:type="dxa"/>
          </w:tcPr>
          <w:p w14:paraId="0E7DCFC1" w14:textId="77777777" w:rsidR="00967D98" w:rsidRDefault="00000000">
            <w:r>
              <w:rPr>
                <w:sz w:val="15"/>
              </w:rPr>
              <w:t>Variable</w:t>
            </w:r>
          </w:p>
        </w:tc>
        <w:tc>
          <w:tcPr>
            <w:tcW w:w="2074" w:type="dxa"/>
          </w:tcPr>
          <w:p w14:paraId="0B97CE19" w14:textId="77777777" w:rsidR="00967D98" w:rsidRDefault="00000000">
            <w:r>
              <w:rPr>
                <w:sz w:val="15"/>
              </w:rPr>
              <w:t>Mandatory source metadata</w:t>
            </w:r>
          </w:p>
        </w:tc>
      </w:tr>
      <w:tr w:rsidR="00967D98" w14:paraId="0A348569" w14:textId="77777777">
        <w:trPr>
          <w:jc w:val="center"/>
        </w:trPr>
        <w:tc>
          <w:tcPr>
            <w:tcW w:w="2074" w:type="dxa"/>
          </w:tcPr>
          <w:p w14:paraId="3FAA8EFE" w14:textId="77777777" w:rsidR="00967D98" w:rsidRDefault="00000000">
            <w:r>
              <w:rPr>
                <w:sz w:val="15"/>
              </w:rPr>
              <w:t>Emergency access</w:t>
            </w:r>
          </w:p>
        </w:tc>
        <w:tc>
          <w:tcPr>
            <w:tcW w:w="2074" w:type="dxa"/>
          </w:tcPr>
          <w:p w14:paraId="0D3C8463" w14:textId="77777777" w:rsidR="00967D98" w:rsidRDefault="00000000">
            <w:r>
              <w:rPr>
                <w:sz w:val="15"/>
              </w:rPr>
              <w:t>Provider controlled</w:t>
            </w:r>
          </w:p>
        </w:tc>
        <w:tc>
          <w:tcPr>
            <w:tcW w:w="2074" w:type="dxa"/>
          </w:tcPr>
          <w:p w14:paraId="65AF82D5" w14:textId="77777777" w:rsidR="00967D98" w:rsidRDefault="00000000">
            <w:r>
              <w:rPr>
                <w:sz w:val="15"/>
              </w:rPr>
              <w:t>Implementation dependent</w:t>
            </w:r>
          </w:p>
        </w:tc>
        <w:tc>
          <w:tcPr>
            <w:tcW w:w="2074" w:type="dxa"/>
          </w:tcPr>
          <w:p w14:paraId="193B206A" w14:textId="77777777" w:rsidR="00967D98" w:rsidRDefault="00000000">
            <w:r>
              <w:rPr>
                <w:sz w:val="15"/>
              </w:rPr>
              <w:t>Variable</w:t>
            </w:r>
          </w:p>
        </w:tc>
        <w:tc>
          <w:tcPr>
            <w:tcW w:w="2074" w:type="dxa"/>
          </w:tcPr>
          <w:p w14:paraId="0C573FBA" w14:textId="77777777" w:rsidR="00967D98" w:rsidRDefault="00000000">
            <w:r>
              <w:rPr>
                <w:sz w:val="15"/>
              </w:rPr>
              <w:t>Audited break-glass</w:t>
            </w:r>
          </w:p>
        </w:tc>
      </w:tr>
      <w:tr w:rsidR="00967D98" w14:paraId="3EB62F15" w14:textId="77777777">
        <w:trPr>
          <w:jc w:val="center"/>
        </w:trPr>
        <w:tc>
          <w:tcPr>
            <w:tcW w:w="2074" w:type="dxa"/>
          </w:tcPr>
          <w:p w14:paraId="1BEEC186" w14:textId="77777777" w:rsidR="00967D98" w:rsidRDefault="00000000">
            <w:r>
              <w:rPr>
                <w:sz w:val="15"/>
              </w:rPr>
              <w:t>Scalability</w:t>
            </w:r>
          </w:p>
        </w:tc>
        <w:tc>
          <w:tcPr>
            <w:tcW w:w="2074" w:type="dxa"/>
          </w:tcPr>
          <w:p w14:paraId="3182E3E2" w14:textId="77777777" w:rsidR="00967D98" w:rsidRDefault="00000000">
            <w:r>
              <w:rPr>
                <w:sz w:val="15"/>
              </w:rPr>
              <w:t>Architecture dependent</w:t>
            </w:r>
          </w:p>
        </w:tc>
        <w:tc>
          <w:tcPr>
            <w:tcW w:w="2074" w:type="dxa"/>
          </w:tcPr>
          <w:p w14:paraId="056D2368" w14:textId="77777777" w:rsidR="00967D98" w:rsidRDefault="00000000">
            <w:r>
              <w:rPr>
                <w:sz w:val="15"/>
              </w:rPr>
              <w:t>Good API potential</w:t>
            </w:r>
          </w:p>
        </w:tc>
        <w:tc>
          <w:tcPr>
            <w:tcW w:w="2074" w:type="dxa"/>
          </w:tcPr>
          <w:p w14:paraId="46F3F924" w14:textId="77777777" w:rsidR="00967D98" w:rsidRDefault="00000000">
            <w:r>
              <w:rPr>
                <w:sz w:val="15"/>
              </w:rPr>
              <w:t>Moderate</w:t>
            </w:r>
          </w:p>
        </w:tc>
        <w:tc>
          <w:tcPr>
            <w:tcW w:w="2074" w:type="dxa"/>
          </w:tcPr>
          <w:p w14:paraId="18A9A1F0" w14:textId="77777777" w:rsidR="00967D98" w:rsidRDefault="00000000">
            <w:r>
              <w:rPr>
                <w:sz w:val="15"/>
              </w:rPr>
              <w:t>API + container based</w:t>
            </w:r>
          </w:p>
        </w:tc>
      </w:tr>
      <w:tr w:rsidR="00967D98" w14:paraId="782F5723" w14:textId="77777777">
        <w:trPr>
          <w:jc w:val="center"/>
        </w:trPr>
        <w:tc>
          <w:tcPr>
            <w:tcW w:w="2074" w:type="dxa"/>
          </w:tcPr>
          <w:p w14:paraId="6E3909A0" w14:textId="77777777" w:rsidR="00967D98" w:rsidRDefault="00000000">
            <w:r>
              <w:rPr>
                <w:sz w:val="15"/>
              </w:rPr>
              <w:t>Evaluation</w:t>
            </w:r>
          </w:p>
        </w:tc>
        <w:tc>
          <w:tcPr>
            <w:tcW w:w="2074" w:type="dxa"/>
          </w:tcPr>
          <w:p w14:paraId="1D332687" w14:textId="77777777" w:rsidR="00967D98" w:rsidRDefault="00000000">
            <w:r>
              <w:rPr>
                <w:sz w:val="15"/>
              </w:rPr>
              <w:t>Established</w:t>
            </w:r>
          </w:p>
        </w:tc>
        <w:tc>
          <w:tcPr>
            <w:tcW w:w="2074" w:type="dxa"/>
          </w:tcPr>
          <w:p w14:paraId="4E59D5FE" w14:textId="77777777" w:rsidR="00967D98" w:rsidRDefault="00000000">
            <w:r>
              <w:rPr>
                <w:sz w:val="15"/>
              </w:rPr>
              <w:t>Growing</w:t>
            </w:r>
          </w:p>
        </w:tc>
        <w:tc>
          <w:tcPr>
            <w:tcW w:w="2074" w:type="dxa"/>
          </w:tcPr>
          <w:p w14:paraId="67736004" w14:textId="77777777" w:rsidR="00967D98" w:rsidRDefault="00000000">
            <w:r>
              <w:rPr>
                <w:sz w:val="15"/>
              </w:rPr>
              <w:t>Established</w:t>
            </w:r>
          </w:p>
        </w:tc>
        <w:tc>
          <w:tcPr>
            <w:tcW w:w="2074" w:type="dxa"/>
          </w:tcPr>
          <w:p w14:paraId="50376520" w14:textId="77777777" w:rsidR="00967D98" w:rsidRDefault="00000000">
            <w:r>
              <w:rPr>
                <w:sz w:val="15"/>
              </w:rPr>
              <w:t xml:space="preserve">Needs integrated outcome </w:t>
            </w:r>
            <w:r>
              <w:rPr>
                <w:sz w:val="15"/>
              </w:rPr>
              <w:lastRenderedPageBreak/>
              <w:t>evaluation</w:t>
            </w:r>
          </w:p>
        </w:tc>
      </w:tr>
    </w:tbl>
    <w:p w14:paraId="4B2EC3BD" w14:textId="77777777" w:rsidR="00967D98" w:rsidRDefault="00000000">
      <w:r>
        <w:rPr>
          <w:b/>
          <w:sz w:val="28"/>
        </w:rPr>
        <w:lastRenderedPageBreak/>
        <w:t>8. Major Limitations Identified</w:t>
      </w:r>
    </w:p>
    <w:p w14:paraId="5C180466" w14:textId="77777777" w:rsidR="00967D98" w:rsidRDefault="00000000">
      <w:pPr>
        <w:pStyle w:val="ListBullet"/>
        <w:spacing w:after="0"/>
      </w:pPr>
      <w:r>
        <w:t>Heterogeneous provider systems use different schemas, terminologies and interfaces.</w:t>
      </w:r>
    </w:p>
    <w:p w14:paraId="206D959F" w14:textId="77777777" w:rsidR="00967D98" w:rsidRDefault="00000000">
      <w:pPr>
        <w:pStyle w:val="ListBullet"/>
        <w:spacing w:after="0"/>
      </w:pPr>
      <w:r>
        <w:t>FHIR improves exchange but does not automatically guarantee semantic interoperability.</w:t>
      </w:r>
    </w:p>
    <w:p w14:paraId="2711C310" w14:textId="77777777" w:rsidR="00967D98" w:rsidRDefault="00000000">
      <w:pPr>
        <w:pStyle w:val="ListBullet"/>
        <w:spacing w:after="0"/>
      </w:pPr>
      <w:r>
        <w:t>Cross-institution patient identity matching remains difficult.</w:t>
      </w:r>
    </w:p>
    <w:p w14:paraId="6F750F88" w14:textId="77777777" w:rsidR="00967D98" w:rsidRDefault="00000000">
      <w:pPr>
        <w:pStyle w:val="ListBullet"/>
        <w:spacing w:after="0"/>
      </w:pPr>
      <w:r>
        <w:t>Many patient portals do not provide a complete record across multiple organizations.</w:t>
      </w:r>
    </w:p>
    <w:p w14:paraId="78E1C29F" w14:textId="77777777" w:rsidR="00967D98" w:rsidRDefault="00000000">
      <w:pPr>
        <w:pStyle w:val="ListBullet"/>
        <w:spacing w:after="0"/>
      </w:pPr>
      <w:r>
        <w:t>Consent and sharing policies differ across systems and jurisdictions.</w:t>
      </w:r>
    </w:p>
    <w:p w14:paraId="07F45576" w14:textId="77777777" w:rsidR="00967D98" w:rsidRDefault="00000000">
      <w:pPr>
        <w:pStyle w:val="ListBullet"/>
        <w:spacing w:after="0"/>
      </w:pPr>
      <w:r>
        <w:t>Privacy/security can conflict with ease of access and usability.</w:t>
      </w:r>
    </w:p>
    <w:p w14:paraId="437F418B" w14:textId="77777777" w:rsidR="00967D98" w:rsidRDefault="00000000">
      <w:pPr>
        <w:pStyle w:val="ListBullet"/>
        <w:spacing w:after="0"/>
      </w:pPr>
      <w:r>
        <w:t>Missing fields, inconsistent units, duplicate records and conflicting observations reduce data quality.</w:t>
      </w:r>
    </w:p>
    <w:p w14:paraId="04025BC0" w14:textId="77777777" w:rsidR="00967D98" w:rsidRDefault="00000000">
      <w:pPr>
        <w:pStyle w:val="ListBullet"/>
        <w:spacing w:after="0"/>
      </w:pPr>
      <w:r>
        <w:t>Many studies demonstrate feasibility without long-term real-world outcome evaluation.</w:t>
      </w:r>
    </w:p>
    <w:p w14:paraId="69867797" w14:textId="77777777" w:rsidR="00967D98" w:rsidRDefault="00000000">
      <w:pPr>
        <w:pStyle w:val="ListBullet"/>
        <w:spacing w:after="0"/>
      </w:pPr>
      <w:r>
        <w:t>Technical interoperability also depends on organizational governance and cooperation.</w:t>
      </w:r>
    </w:p>
    <w:p w14:paraId="66A6C773" w14:textId="77777777" w:rsidR="00967D98" w:rsidRDefault="00000000">
      <w:pPr>
        <w:pStyle w:val="ListBullet"/>
        <w:spacing w:after="0"/>
      </w:pPr>
      <w:r>
        <w:t>Emergency access requires rapid availability without creating an uncontrolled privacy bypass.</w:t>
      </w:r>
    </w:p>
    <w:p w14:paraId="273E80B0" w14:textId="77777777" w:rsidR="00967D98" w:rsidRDefault="00000000">
      <w:r>
        <w:rPr>
          <w:b/>
          <w:sz w:val="28"/>
        </w:rPr>
        <w:t>9. Research Gap</w:t>
      </w:r>
    </w:p>
    <w:p w14:paraId="23DBA7B9" w14:textId="77777777" w:rsidR="00967D98" w:rsidRDefault="00000000">
      <w:r>
        <w:t>The literature demonstrates strong progress in PHR functionality, EHR/HIE interoperability, patient portals and FHIR, but these areas are frequently investigated separately. The main unresolved opportunity is an end-to-end patient-owned aggregator that securely combines heterogeneous provider records, normalizes clinical meaning, resolves patient identity, enforces fine-grained consent, preserves provenance, handles duplicates/conflicts and provides auditable emergency access.</w:t>
      </w:r>
    </w:p>
    <w:tbl>
      <w:tblPr>
        <w:tblStyle w:val="TableGrid"/>
        <w:tblW w:w="0" w:type="auto"/>
        <w:jc w:val="center"/>
        <w:tblLook w:val="04A0" w:firstRow="1" w:lastRow="0" w:firstColumn="1" w:lastColumn="0" w:noHBand="0" w:noVBand="1"/>
      </w:tblPr>
      <w:tblGrid>
        <w:gridCol w:w="3453"/>
        <w:gridCol w:w="3452"/>
        <w:gridCol w:w="3453"/>
      </w:tblGrid>
      <w:tr w:rsidR="00967D98" w14:paraId="556B4B3C" w14:textId="77777777">
        <w:trPr>
          <w:jc w:val="center"/>
        </w:trPr>
        <w:tc>
          <w:tcPr>
            <w:tcW w:w="3456" w:type="dxa"/>
          </w:tcPr>
          <w:p w14:paraId="3CBE1822" w14:textId="77777777" w:rsidR="00967D98" w:rsidRDefault="00000000">
            <w:r>
              <w:rPr>
                <w:b/>
                <w:sz w:val="15"/>
              </w:rPr>
              <w:t>Gap</w:t>
            </w:r>
          </w:p>
        </w:tc>
        <w:tc>
          <w:tcPr>
            <w:tcW w:w="3456" w:type="dxa"/>
          </w:tcPr>
          <w:p w14:paraId="63B0A578" w14:textId="77777777" w:rsidR="00967D98" w:rsidRDefault="00000000">
            <w:r>
              <w:rPr>
                <w:b/>
                <w:sz w:val="15"/>
              </w:rPr>
              <w:t>Existing Situation</w:t>
            </w:r>
          </w:p>
        </w:tc>
        <w:tc>
          <w:tcPr>
            <w:tcW w:w="3456" w:type="dxa"/>
          </w:tcPr>
          <w:p w14:paraId="0AC8D3A0" w14:textId="77777777" w:rsidR="00967D98" w:rsidRDefault="00000000">
            <w:r>
              <w:rPr>
                <w:b/>
                <w:sz w:val="15"/>
              </w:rPr>
              <w:t>Proposed Direction</w:t>
            </w:r>
          </w:p>
        </w:tc>
      </w:tr>
      <w:tr w:rsidR="00967D98" w14:paraId="1FB52D61" w14:textId="77777777">
        <w:trPr>
          <w:jc w:val="center"/>
        </w:trPr>
        <w:tc>
          <w:tcPr>
            <w:tcW w:w="3456" w:type="dxa"/>
          </w:tcPr>
          <w:p w14:paraId="103219C9" w14:textId="77777777" w:rsidR="00967D98" w:rsidRDefault="00000000">
            <w:r>
              <w:rPr>
                <w:sz w:val="15"/>
              </w:rPr>
              <w:t>Cross-provider completeness</w:t>
            </w:r>
          </w:p>
        </w:tc>
        <w:tc>
          <w:tcPr>
            <w:tcW w:w="3456" w:type="dxa"/>
          </w:tcPr>
          <w:p w14:paraId="6D13F774" w14:textId="77777777" w:rsidR="00967D98" w:rsidRDefault="00000000">
            <w:r>
              <w:rPr>
                <w:sz w:val="15"/>
              </w:rPr>
              <w:t>Few portals provide complete multi-site records.</w:t>
            </w:r>
          </w:p>
        </w:tc>
        <w:tc>
          <w:tcPr>
            <w:tcW w:w="3456" w:type="dxa"/>
          </w:tcPr>
          <w:p w14:paraId="32090943" w14:textId="77777777" w:rsidR="00967D98" w:rsidRDefault="00000000">
            <w:r>
              <w:rPr>
                <w:sz w:val="15"/>
              </w:rPr>
              <w:t>Provider-neutral FHIR/API aggregation layer.</w:t>
            </w:r>
          </w:p>
        </w:tc>
      </w:tr>
      <w:tr w:rsidR="00967D98" w14:paraId="66BB8BEA" w14:textId="77777777">
        <w:trPr>
          <w:jc w:val="center"/>
        </w:trPr>
        <w:tc>
          <w:tcPr>
            <w:tcW w:w="3456" w:type="dxa"/>
          </w:tcPr>
          <w:p w14:paraId="049A9425" w14:textId="77777777" w:rsidR="00967D98" w:rsidRDefault="00000000">
            <w:r>
              <w:rPr>
                <w:sz w:val="15"/>
              </w:rPr>
              <w:t>Semantic interoperability</w:t>
            </w:r>
          </w:p>
        </w:tc>
        <w:tc>
          <w:tcPr>
            <w:tcW w:w="3456" w:type="dxa"/>
          </w:tcPr>
          <w:p w14:paraId="393201DE" w14:textId="77777777" w:rsidR="00967D98" w:rsidRDefault="00000000">
            <w:r>
              <w:rPr>
                <w:sz w:val="15"/>
              </w:rPr>
              <w:t>Different terminologies can represent similar concepts.</w:t>
            </w:r>
          </w:p>
        </w:tc>
        <w:tc>
          <w:tcPr>
            <w:tcW w:w="3456" w:type="dxa"/>
          </w:tcPr>
          <w:p w14:paraId="4E7E84DA" w14:textId="77777777" w:rsidR="00967D98" w:rsidRDefault="00000000">
            <w:r>
              <w:rPr>
                <w:sz w:val="15"/>
              </w:rPr>
              <w:t>Terminology services and mapping.</w:t>
            </w:r>
          </w:p>
        </w:tc>
      </w:tr>
      <w:tr w:rsidR="00967D98" w14:paraId="7108BF08" w14:textId="77777777">
        <w:trPr>
          <w:jc w:val="center"/>
        </w:trPr>
        <w:tc>
          <w:tcPr>
            <w:tcW w:w="3456" w:type="dxa"/>
          </w:tcPr>
          <w:p w14:paraId="43F37F5A" w14:textId="77777777" w:rsidR="00967D98" w:rsidRDefault="00000000">
            <w:r>
              <w:rPr>
                <w:sz w:val="15"/>
              </w:rPr>
              <w:t>Identity resolution</w:t>
            </w:r>
          </w:p>
        </w:tc>
        <w:tc>
          <w:tcPr>
            <w:tcW w:w="3456" w:type="dxa"/>
          </w:tcPr>
          <w:p w14:paraId="6F697663" w14:textId="77777777" w:rsidR="00967D98" w:rsidRDefault="00000000">
            <w:r>
              <w:rPr>
                <w:sz w:val="15"/>
              </w:rPr>
              <w:t>Providers use different patient identifiers.</w:t>
            </w:r>
          </w:p>
        </w:tc>
        <w:tc>
          <w:tcPr>
            <w:tcW w:w="3456" w:type="dxa"/>
          </w:tcPr>
          <w:p w14:paraId="3BEF93E0" w14:textId="77777777" w:rsidR="00967D98" w:rsidRDefault="00000000">
            <w:r>
              <w:rPr>
                <w:sz w:val="15"/>
              </w:rPr>
              <w:t>Privacy-preserving matching with confidence checks.</w:t>
            </w:r>
          </w:p>
        </w:tc>
      </w:tr>
      <w:tr w:rsidR="00967D98" w14:paraId="3B3463CA" w14:textId="77777777">
        <w:trPr>
          <w:jc w:val="center"/>
        </w:trPr>
        <w:tc>
          <w:tcPr>
            <w:tcW w:w="3456" w:type="dxa"/>
          </w:tcPr>
          <w:p w14:paraId="77957AC2" w14:textId="77777777" w:rsidR="00967D98" w:rsidRDefault="00000000">
            <w:r>
              <w:rPr>
                <w:sz w:val="15"/>
              </w:rPr>
              <w:t>Fine-grained consent</w:t>
            </w:r>
          </w:p>
        </w:tc>
        <w:tc>
          <w:tcPr>
            <w:tcW w:w="3456" w:type="dxa"/>
          </w:tcPr>
          <w:p w14:paraId="3C935133" w14:textId="77777777" w:rsidR="00967D98" w:rsidRDefault="00000000">
            <w:r>
              <w:rPr>
                <w:sz w:val="15"/>
              </w:rPr>
              <w:t>Policies differ between providers.</w:t>
            </w:r>
          </w:p>
        </w:tc>
        <w:tc>
          <w:tcPr>
            <w:tcW w:w="3456" w:type="dxa"/>
          </w:tcPr>
          <w:p w14:paraId="7A9EDA94" w14:textId="77777777" w:rsidR="00967D98" w:rsidRDefault="00000000">
            <w:r>
              <w:rPr>
                <w:sz w:val="15"/>
              </w:rPr>
              <w:t>Resource/provider/time-based permissions.</w:t>
            </w:r>
          </w:p>
        </w:tc>
      </w:tr>
      <w:tr w:rsidR="00967D98" w14:paraId="1C56F865" w14:textId="77777777">
        <w:trPr>
          <w:jc w:val="center"/>
        </w:trPr>
        <w:tc>
          <w:tcPr>
            <w:tcW w:w="3456" w:type="dxa"/>
          </w:tcPr>
          <w:p w14:paraId="63E51851" w14:textId="77777777" w:rsidR="00967D98" w:rsidRDefault="00000000">
            <w:r>
              <w:rPr>
                <w:sz w:val="15"/>
              </w:rPr>
              <w:t>Provenance</w:t>
            </w:r>
          </w:p>
        </w:tc>
        <w:tc>
          <w:tcPr>
            <w:tcW w:w="3456" w:type="dxa"/>
          </w:tcPr>
          <w:p w14:paraId="66E2D6C1" w14:textId="77777777" w:rsidR="00967D98" w:rsidRDefault="00000000">
            <w:r>
              <w:rPr>
                <w:sz w:val="15"/>
              </w:rPr>
              <w:t>Source context can be lost after aggregation.</w:t>
            </w:r>
          </w:p>
        </w:tc>
        <w:tc>
          <w:tcPr>
            <w:tcW w:w="3456" w:type="dxa"/>
          </w:tcPr>
          <w:p w14:paraId="2755A991" w14:textId="77777777" w:rsidR="00967D98" w:rsidRDefault="00000000">
            <w:r>
              <w:rPr>
                <w:sz w:val="15"/>
              </w:rPr>
              <w:t>Store source, timestamp and transformation metadata.</w:t>
            </w:r>
          </w:p>
        </w:tc>
      </w:tr>
      <w:tr w:rsidR="00967D98" w14:paraId="30CD80EE" w14:textId="77777777">
        <w:trPr>
          <w:jc w:val="center"/>
        </w:trPr>
        <w:tc>
          <w:tcPr>
            <w:tcW w:w="3456" w:type="dxa"/>
          </w:tcPr>
          <w:p w14:paraId="4F83F090" w14:textId="77777777" w:rsidR="00967D98" w:rsidRDefault="00000000">
            <w:r>
              <w:rPr>
                <w:sz w:val="15"/>
              </w:rPr>
              <w:t>Duplicates/conflicts</w:t>
            </w:r>
          </w:p>
        </w:tc>
        <w:tc>
          <w:tcPr>
            <w:tcW w:w="3456" w:type="dxa"/>
          </w:tcPr>
          <w:p w14:paraId="13B0B528" w14:textId="77777777" w:rsidR="00967D98" w:rsidRDefault="00000000">
            <w:r>
              <w:rPr>
                <w:sz w:val="15"/>
              </w:rPr>
              <w:t>Overlapping records may be repeated or inconsistent.</w:t>
            </w:r>
          </w:p>
        </w:tc>
        <w:tc>
          <w:tcPr>
            <w:tcW w:w="3456" w:type="dxa"/>
          </w:tcPr>
          <w:p w14:paraId="7D228822" w14:textId="77777777" w:rsidR="00967D98" w:rsidRDefault="00000000">
            <w:r>
              <w:rPr>
                <w:sz w:val="15"/>
              </w:rPr>
              <w:t>Deduplication and conflict-resolution rules.</w:t>
            </w:r>
          </w:p>
        </w:tc>
      </w:tr>
      <w:tr w:rsidR="00967D98" w14:paraId="70B79978" w14:textId="77777777">
        <w:trPr>
          <w:jc w:val="center"/>
        </w:trPr>
        <w:tc>
          <w:tcPr>
            <w:tcW w:w="3456" w:type="dxa"/>
          </w:tcPr>
          <w:p w14:paraId="56D7F89C" w14:textId="77777777" w:rsidR="00967D98" w:rsidRDefault="00000000">
            <w:r>
              <w:rPr>
                <w:sz w:val="15"/>
              </w:rPr>
              <w:t>Emergency access</w:t>
            </w:r>
          </w:p>
        </w:tc>
        <w:tc>
          <w:tcPr>
            <w:tcW w:w="3456" w:type="dxa"/>
          </w:tcPr>
          <w:p w14:paraId="366963D2" w14:textId="77777777" w:rsidR="00967D98" w:rsidRDefault="00000000">
            <w:r>
              <w:rPr>
                <w:sz w:val="15"/>
              </w:rPr>
              <w:t>Break-glass access can increase privacy risk.</w:t>
            </w:r>
          </w:p>
        </w:tc>
        <w:tc>
          <w:tcPr>
            <w:tcW w:w="3456" w:type="dxa"/>
          </w:tcPr>
          <w:p w14:paraId="04273F64" w14:textId="77777777" w:rsidR="00967D98" w:rsidRDefault="00000000">
            <w:r>
              <w:rPr>
                <w:sz w:val="15"/>
              </w:rPr>
              <w:t>Limited critical data + strong audit + post-event review.</w:t>
            </w:r>
          </w:p>
        </w:tc>
      </w:tr>
      <w:tr w:rsidR="00967D98" w14:paraId="4F35549C" w14:textId="77777777">
        <w:trPr>
          <w:jc w:val="center"/>
        </w:trPr>
        <w:tc>
          <w:tcPr>
            <w:tcW w:w="3456" w:type="dxa"/>
          </w:tcPr>
          <w:p w14:paraId="4E878EFF" w14:textId="77777777" w:rsidR="00967D98" w:rsidRDefault="00000000">
            <w:r>
              <w:rPr>
                <w:sz w:val="15"/>
              </w:rPr>
              <w:t>Evaluation</w:t>
            </w:r>
          </w:p>
        </w:tc>
        <w:tc>
          <w:tcPr>
            <w:tcW w:w="3456" w:type="dxa"/>
          </w:tcPr>
          <w:p w14:paraId="4185B6F6" w14:textId="77777777" w:rsidR="00967D98" w:rsidRDefault="00000000">
            <w:r>
              <w:rPr>
                <w:sz w:val="15"/>
              </w:rPr>
              <w:t>Many studies focus on feasibility.</w:t>
            </w:r>
          </w:p>
        </w:tc>
        <w:tc>
          <w:tcPr>
            <w:tcW w:w="3456" w:type="dxa"/>
          </w:tcPr>
          <w:p w14:paraId="41C8CB8A" w14:textId="77777777" w:rsidR="00967D98" w:rsidRDefault="00000000">
            <w:r>
              <w:rPr>
                <w:sz w:val="15"/>
              </w:rPr>
              <w:t>Measure synchronization, completeness, latency, matching, consent and usability.</w:t>
            </w:r>
          </w:p>
        </w:tc>
      </w:tr>
    </w:tbl>
    <w:p w14:paraId="4BFBB897" w14:textId="77777777" w:rsidR="00967D98" w:rsidRDefault="00000000">
      <w:r>
        <w:rPr>
          <w:b/>
          <w:sz w:val="28"/>
        </w:rPr>
        <w:t>10. Proposed Architecture Based on the Literature</w:t>
      </w:r>
    </w:p>
    <w:p w14:paraId="12E5637B" w14:textId="77777777" w:rsidR="00967D98" w:rsidRDefault="00000000">
      <w:r>
        <w:t>Hospital/Clinic/Lab Systems → Secure FHIR/API Connectors → Validation → Terminology Mapping → Patient Identity Resolution → Consent/Authorization Engine → PHR Database → Provenance/Audit → Patient Dashboard / Authorized Provider Portal</w:t>
      </w:r>
    </w:p>
    <w:p w14:paraId="05262B5F" w14:textId="77777777" w:rsidR="00967D98" w:rsidRDefault="00000000">
      <w:pPr>
        <w:pStyle w:val="ListBullet"/>
        <w:spacing w:after="0"/>
      </w:pPr>
      <w:r>
        <w:t>FHIR/API connectors isolate provider-specific integration differences.</w:t>
      </w:r>
    </w:p>
    <w:p w14:paraId="245A8C24" w14:textId="77777777" w:rsidR="00967D98" w:rsidRDefault="00000000">
      <w:pPr>
        <w:pStyle w:val="ListBullet"/>
        <w:spacing w:after="0"/>
      </w:pPr>
      <w:r>
        <w:t>Validation checks incoming resource structure and required fields.</w:t>
      </w:r>
    </w:p>
    <w:p w14:paraId="40BF167F" w14:textId="77777777" w:rsidR="00967D98" w:rsidRDefault="00000000">
      <w:pPr>
        <w:pStyle w:val="ListBullet"/>
        <w:spacing w:after="0"/>
      </w:pPr>
      <w:r>
        <w:t>Terminology services normalize clinical concepts and units.</w:t>
      </w:r>
    </w:p>
    <w:p w14:paraId="7DCEE2AB" w14:textId="77777777" w:rsidR="00967D98" w:rsidRDefault="00000000">
      <w:pPr>
        <w:pStyle w:val="ListBullet"/>
        <w:spacing w:after="0"/>
      </w:pPr>
      <w:r>
        <w:t>Identity resolution associates records with the correct patient and routes uncertain matches for review.</w:t>
      </w:r>
    </w:p>
    <w:p w14:paraId="04DAC6D7" w14:textId="77777777" w:rsidR="00967D98" w:rsidRDefault="00000000">
      <w:pPr>
        <w:pStyle w:val="ListBullet"/>
        <w:spacing w:after="0"/>
      </w:pPr>
      <w:r>
        <w:t>Consent and authorization determine who can access which records and for how long.</w:t>
      </w:r>
    </w:p>
    <w:p w14:paraId="580ADE60" w14:textId="77777777" w:rsidR="00967D98" w:rsidRDefault="00000000">
      <w:pPr>
        <w:pStyle w:val="ListBullet"/>
        <w:spacing w:after="0"/>
      </w:pPr>
      <w:r>
        <w:t>Provenance preserves source and transformation information.</w:t>
      </w:r>
    </w:p>
    <w:p w14:paraId="3401F286" w14:textId="77777777" w:rsidR="00967D98" w:rsidRDefault="00000000">
      <w:pPr>
        <w:pStyle w:val="ListBullet"/>
        <w:spacing w:after="0"/>
      </w:pPr>
      <w:r>
        <w:t>Audit logs record sensitive access and emergency events.</w:t>
      </w:r>
    </w:p>
    <w:p w14:paraId="49C1DCDD" w14:textId="77777777" w:rsidR="00967D98" w:rsidRDefault="00000000">
      <w:pPr>
        <w:pStyle w:val="ListBullet"/>
        <w:spacing w:after="0"/>
      </w:pPr>
      <w:r>
        <w:t>The dashboard presents a consolidated, source-aware medical timeline.</w:t>
      </w:r>
    </w:p>
    <w:p w14:paraId="2D42F07D" w14:textId="77777777" w:rsidR="00967D98" w:rsidRDefault="00000000">
      <w:r>
        <w:rPr>
          <w:b/>
          <w:sz w:val="28"/>
        </w:rPr>
        <w:t>11. Proposed Evaluation Metrics</w:t>
      </w:r>
    </w:p>
    <w:tbl>
      <w:tblPr>
        <w:tblStyle w:val="TableGrid"/>
        <w:tblW w:w="0" w:type="auto"/>
        <w:jc w:val="center"/>
        <w:tblLook w:val="04A0" w:firstRow="1" w:lastRow="0" w:firstColumn="1" w:lastColumn="0" w:noHBand="0" w:noVBand="1"/>
      </w:tblPr>
      <w:tblGrid>
        <w:gridCol w:w="3453"/>
        <w:gridCol w:w="3452"/>
        <w:gridCol w:w="3453"/>
      </w:tblGrid>
      <w:tr w:rsidR="00967D98" w14:paraId="5769FC73" w14:textId="77777777">
        <w:trPr>
          <w:jc w:val="center"/>
        </w:trPr>
        <w:tc>
          <w:tcPr>
            <w:tcW w:w="3456" w:type="dxa"/>
          </w:tcPr>
          <w:p w14:paraId="7C10BBF4" w14:textId="77777777" w:rsidR="00967D98" w:rsidRDefault="00000000">
            <w:r>
              <w:rPr>
                <w:b/>
                <w:sz w:val="15"/>
              </w:rPr>
              <w:t>Metric</w:t>
            </w:r>
          </w:p>
        </w:tc>
        <w:tc>
          <w:tcPr>
            <w:tcW w:w="3456" w:type="dxa"/>
          </w:tcPr>
          <w:p w14:paraId="290789F6" w14:textId="77777777" w:rsidR="00967D98" w:rsidRDefault="00000000">
            <w:r>
              <w:rPr>
                <w:b/>
                <w:sz w:val="15"/>
              </w:rPr>
              <w:t>Definition</w:t>
            </w:r>
          </w:p>
        </w:tc>
        <w:tc>
          <w:tcPr>
            <w:tcW w:w="3456" w:type="dxa"/>
          </w:tcPr>
          <w:p w14:paraId="214461D5" w14:textId="77777777" w:rsidR="00967D98" w:rsidRDefault="00000000">
            <w:r>
              <w:rPr>
                <w:b/>
                <w:sz w:val="15"/>
              </w:rPr>
              <w:t>Purpose</w:t>
            </w:r>
          </w:p>
        </w:tc>
      </w:tr>
      <w:tr w:rsidR="00967D98" w14:paraId="4963DF01" w14:textId="77777777">
        <w:trPr>
          <w:jc w:val="center"/>
        </w:trPr>
        <w:tc>
          <w:tcPr>
            <w:tcW w:w="3456" w:type="dxa"/>
          </w:tcPr>
          <w:p w14:paraId="180699FA" w14:textId="77777777" w:rsidR="00967D98" w:rsidRDefault="00000000">
            <w:r>
              <w:rPr>
                <w:sz w:val="15"/>
              </w:rPr>
              <w:t>Synchronization success rate</w:t>
            </w:r>
          </w:p>
        </w:tc>
        <w:tc>
          <w:tcPr>
            <w:tcW w:w="3456" w:type="dxa"/>
          </w:tcPr>
          <w:p w14:paraId="504DC943" w14:textId="77777777" w:rsidR="00967D98" w:rsidRDefault="00000000">
            <w:r>
              <w:rPr>
                <w:sz w:val="15"/>
              </w:rPr>
              <w:t>Successful provider records / attempted records × 100</w:t>
            </w:r>
          </w:p>
        </w:tc>
        <w:tc>
          <w:tcPr>
            <w:tcW w:w="3456" w:type="dxa"/>
          </w:tcPr>
          <w:p w14:paraId="532EE714" w14:textId="77777777" w:rsidR="00967D98" w:rsidRDefault="00000000">
            <w:r>
              <w:rPr>
                <w:sz w:val="15"/>
              </w:rPr>
              <w:t>Interoperability reliability.</w:t>
            </w:r>
          </w:p>
        </w:tc>
      </w:tr>
      <w:tr w:rsidR="00967D98" w14:paraId="131C4B37" w14:textId="77777777">
        <w:trPr>
          <w:jc w:val="center"/>
        </w:trPr>
        <w:tc>
          <w:tcPr>
            <w:tcW w:w="3456" w:type="dxa"/>
          </w:tcPr>
          <w:p w14:paraId="176F030E" w14:textId="77777777" w:rsidR="00967D98" w:rsidRDefault="00000000">
            <w:r>
              <w:rPr>
                <w:sz w:val="15"/>
              </w:rPr>
              <w:t>Data completeness</w:t>
            </w:r>
          </w:p>
        </w:tc>
        <w:tc>
          <w:tcPr>
            <w:tcW w:w="3456" w:type="dxa"/>
          </w:tcPr>
          <w:p w14:paraId="18D4F3D3" w14:textId="77777777" w:rsidR="00967D98" w:rsidRDefault="00000000">
            <w:r>
              <w:rPr>
                <w:sz w:val="15"/>
              </w:rPr>
              <w:t>Required fields received / expected × 100</w:t>
            </w:r>
          </w:p>
        </w:tc>
        <w:tc>
          <w:tcPr>
            <w:tcW w:w="3456" w:type="dxa"/>
          </w:tcPr>
          <w:p w14:paraId="3C9AA0EC" w14:textId="77777777" w:rsidR="00967D98" w:rsidRDefault="00000000">
            <w:r>
              <w:rPr>
                <w:sz w:val="15"/>
              </w:rPr>
              <w:t>Record usefulness.</w:t>
            </w:r>
          </w:p>
        </w:tc>
      </w:tr>
      <w:tr w:rsidR="00967D98" w14:paraId="5FE922D3" w14:textId="77777777">
        <w:trPr>
          <w:jc w:val="center"/>
        </w:trPr>
        <w:tc>
          <w:tcPr>
            <w:tcW w:w="3456" w:type="dxa"/>
          </w:tcPr>
          <w:p w14:paraId="3F7E296A" w14:textId="77777777" w:rsidR="00967D98" w:rsidRDefault="00000000">
            <w:r>
              <w:rPr>
                <w:sz w:val="15"/>
              </w:rPr>
              <w:t>Patient-match precision</w:t>
            </w:r>
          </w:p>
        </w:tc>
        <w:tc>
          <w:tcPr>
            <w:tcW w:w="3456" w:type="dxa"/>
          </w:tcPr>
          <w:p w14:paraId="66079655" w14:textId="77777777" w:rsidR="00967D98" w:rsidRDefault="00000000">
            <w:r>
              <w:rPr>
                <w:sz w:val="15"/>
              </w:rPr>
              <w:t>Correct accepted matches / all accepted matches × 100</w:t>
            </w:r>
          </w:p>
        </w:tc>
        <w:tc>
          <w:tcPr>
            <w:tcW w:w="3456" w:type="dxa"/>
          </w:tcPr>
          <w:p w14:paraId="4C1F1804" w14:textId="77777777" w:rsidR="00967D98" w:rsidRDefault="00000000">
            <w:r>
              <w:rPr>
                <w:sz w:val="15"/>
              </w:rPr>
              <w:t>Avoid wrong-patient linkage.</w:t>
            </w:r>
          </w:p>
        </w:tc>
      </w:tr>
      <w:tr w:rsidR="00967D98" w14:paraId="67FCC33B" w14:textId="77777777">
        <w:trPr>
          <w:jc w:val="center"/>
        </w:trPr>
        <w:tc>
          <w:tcPr>
            <w:tcW w:w="3456" w:type="dxa"/>
          </w:tcPr>
          <w:p w14:paraId="0DE9DC89" w14:textId="77777777" w:rsidR="00967D98" w:rsidRDefault="00000000">
            <w:r>
              <w:rPr>
                <w:sz w:val="15"/>
              </w:rPr>
              <w:t>Duplicate detection rate</w:t>
            </w:r>
          </w:p>
        </w:tc>
        <w:tc>
          <w:tcPr>
            <w:tcW w:w="3456" w:type="dxa"/>
          </w:tcPr>
          <w:p w14:paraId="5FBE2C1D" w14:textId="77777777" w:rsidR="00967D98" w:rsidRDefault="00000000">
            <w:r>
              <w:rPr>
                <w:sz w:val="15"/>
              </w:rPr>
              <w:t>Correct duplicates detected / actual duplicates × 100</w:t>
            </w:r>
          </w:p>
        </w:tc>
        <w:tc>
          <w:tcPr>
            <w:tcW w:w="3456" w:type="dxa"/>
          </w:tcPr>
          <w:p w14:paraId="1DAF4528" w14:textId="77777777" w:rsidR="00967D98" w:rsidRDefault="00000000">
            <w:r>
              <w:rPr>
                <w:sz w:val="15"/>
              </w:rPr>
              <w:t>Reduce redundancy.</w:t>
            </w:r>
          </w:p>
        </w:tc>
      </w:tr>
      <w:tr w:rsidR="00967D98" w14:paraId="5D47D770" w14:textId="77777777">
        <w:trPr>
          <w:jc w:val="center"/>
        </w:trPr>
        <w:tc>
          <w:tcPr>
            <w:tcW w:w="3456" w:type="dxa"/>
          </w:tcPr>
          <w:p w14:paraId="66DA9502" w14:textId="77777777" w:rsidR="00967D98" w:rsidRDefault="00000000">
            <w:r>
              <w:rPr>
                <w:sz w:val="15"/>
              </w:rPr>
              <w:t>API latency</w:t>
            </w:r>
          </w:p>
        </w:tc>
        <w:tc>
          <w:tcPr>
            <w:tcW w:w="3456" w:type="dxa"/>
          </w:tcPr>
          <w:p w14:paraId="6A93611D" w14:textId="77777777" w:rsidR="00967D98" w:rsidRDefault="00000000">
            <w:r>
              <w:rPr>
                <w:sz w:val="15"/>
              </w:rPr>
              <w:t>Request-to-response time</w:t>
            </w:r>
          </w:p>
        </w:tc>
        <w:tc>
          <w:tcPr>
            <w:tcW w:w="3456" w:type="dxa"/>
          </w:tcPr>
          <w:p w14:paraId="33018B40" w14:textId="77777777" w:rsidR="00967D98" w:rsidRDefault="00000000">
            <w:r>
              <w:rPr>
                <w:sz w:val="15"/>
              </w:rPr>
              <w:t>Responsiveness.</w:t>
            </w:r>
          </w:p>
        </w:tc>
      </w:tr>
      <w:tr w:rsidR="00967D98" w14:paraId="6B53CA13" w14:textId="77777777">
        <w:trPr>
          <w:jc w:val="center"/>
        </w:trPr>
        <w:tc>
          <w:tcPr>
            <w:tcW w:w="3456" w:type="dxa"/>
          </w:tcPr>
          <w:p w14:paraId="2820BE94" w14:textId="77777777" w:rsidR="00967D98" w:rsidRDefault="00000000">
            <w:r>
              <w:rPr>
                <w:sz w:val="15"/>
              </w:rPr>
              <w:t>Synchronization latency</w:t>
            </w:r>
          </w:p>
        </w:tc>
        <w:tc>
          <w:tcPr>
            <w:tcW w:w="3456" w:type="dxa"/>
          </w:tcPr>
          <w:p w14:paraId="0B3BF3E8" w14:textId="77777777" w:rsidR="00967D98" w:rsidRDefault="00000000">
            <w:r>
              <w:rPr>
                <w:sz w:val="15"/>
              </w:rPr>
              <w:t>Provider update to PHR availability</w:t>
            </w:r>
          </w:p>
        </w:tc>
        <w:tc>
          <w:tcPr>
            <w:tcW w:w="3456" w:type="dxa"/>
          </w:tcPr>
          <w:p w14:paraId="1608D158" w14:textId="77777777" w:rsidR="00967D98" w:rsidRDefault="00000000">
            <w:r>
              <w:rPr>
                <w:sz w:val="15"/>
              </w:rPr>
              <w:t>Data freshness.</w:t>
            </w:r>
          </w:p>
        </w:tc>
      </w:tr>
      <w:tr w:rsidR="00967D98" w14:paraId="2ABE414C" w14:textId="77777777">
        <w:trPr>
          <w:jc w:val="center"/>
        </w:trPr>
        <w:tc>
          <w:tcPr>
            <w:tcW w:w="3456" w:type="dxa"/>
          </w:tcPr>
          <w:p w14:paraId="087C2215" w14:textId="77777777" w:rsidR="00967D98" w:rsidRDefault="00000000">
            <w:r>
              <w:rPr>
                <w:sz w:val="15"/>
              </w:rPr>
              <w:t>Consent enforcement accuracy</w:t>
            </w:r>
          </w:p>
        </w:tc>
        <w:tc>
          <w:tcPr>
            <w:tcW w:w="3456" w:type="dxa"/>
          </w:tcPr>
          <w:p w14:paraId="1D3437C1" w14:textId="77777777" w:rsidR="00967D98" w:rsidRDefault="00000000">
            <w:r>
              <w:rPr>
                <w:sz w:val="15"/>
              </w:rPr>
              <w:t>Correct allow/deny decisions / all decisions × 100</w:t>
            </w:r>
          </w:p>
        </w:tc>
        <w:tc>
          <w:tcPr>
            <w:tcW w:w="3456" w:type="dxa"/>
          </w:tcPr>
          <w:p w14:paraId="774B9C76" w14:textId="77777777" w:rsidR="00967D98" w:rsidRDefault="00000000">
            <w:r>
              <w:rPr>
                <w:sz w:val="15"/>
              </w:rPr>
              <w:t>Privacy protection.</w:t>
            </w:r>
          </w:p>
        </w:tc>
      </w:tr>
      <w:tr w:rsidR="00967D98" w14:paraId="52CBCFA9" w14:textId="77777777">
        <w:trPr>
          <w:jc w:val="center"/>
        </w:trPr>
        <w:tc>
          <w:tcPr>
            <w:tcW w:w="3456" w:type="dxa"/>
          </w:tcPr>
          <w:p w14:paraId="5FDBBFC6" w14:textId="77777777" w:rsidR="00967D98" w:rsidRDefault="00000000">
            <w:r>
              <w:rPr>
                <w:sz w:val="15"/>
              </w:rPr>
              <w:t>Availability</w:t>
            </w:r>
          </w:p>
        </w:tc>
        <w:tc>
          <w:tcPr>
            <w:tcW w:w="3456" w:type="dxa"/>
          </w:tcPr>
          <w:p w14:paraId="0C58ED7E" w14:textId="77777777" w:rsidR="00967D98" w:rsidRDefault="00000000">
            <w:r>
              <w:rPr>
                <w:sz w:val="15"/>
              </w:rPr>
              <w:t>Uptime / total service time × 100</w:t>
            </w:r>
          </w:p>
        </w:tc>
        <w:tc>
          <w:tcPr>
            <w:tcW w:w="3456" w:type="dxa"/>
          </w:tcPr>
          <w:p w14:paraId="4A9BB717" w14:textId="77777777" w:rsidR="00967D98" w:rsidRDefault="00000000">
            <w:r>
              <w:rPr>
                <w:sz w:val="15"/>
              </w:rPr>
              <w:t>Reliability.</w:t>
            </w:r>
          </w:p>
        </w:tc>
      </w:tr>
      <w:tr w:rsidR="00967D98" w14:paraId="521BDCF5" w14:textId="77777777">
        <w:trPr>
          <w:jc w:val="center"/>
        </w:trPr>
        <w:tc>
          <w:tcPr>
            <w:tcW w:w="3456" w:type="dxa"/>
          </w:tcPr>
          <w:p w14:paraId="6FEA6C38" w14:textId="77777777" w:rsidR="00967D98" w:rsidRDefault="00000000">
            <w:r>
              <w:rPr>
                <w:sz w:val="15"/>
              </w:rPr>
              <w:t>Usability</w:t>
            </w:r>
          </w:p>
        </w:tc>
        <w:tc>
          <w:tcPr>
            <w:tcW w:w="3456" w:type="dxa"/>
          </w:tcPr>
          <w:p w14:paraId="0F469AC8" w14:textId="77777777" w:rsidR="00967D98" w:rsidRDefault="00000000">
            <w:r>
              <w:rPr>
                <w:sz w:val="15"/>
              </w:rPr>
              <w:t>SUS or equivalent user-study score</w:t>
            </w:r>
          </w:p>
        </w:tc>
        <w:tc>
          <w:tcPr>
            <w:tcW w:w="3456" w:type="dxa"/>
          </w:tcPr>
          <w:p w14:paraId="22AC96A4" w14:textId="77777777" w:rsidR="00967D98" w:rsidRDefault="00000000">
            <w:r>
              <w:rPr>
                <w:sz w:val="15"/>
              </w:rPr>
              <w:t>Patient/provider experience.</w:t>
            </w:r>
          </w:p>
        </w:tc>
      </w:tr>
    </w:tbl>
    <w:p w14:paraId="11F87282" w14:textId="77777777" w:rsidR="00967D98" w:rsidRDefault="00000000">
      <w:r>
        <w:rPr>
          <w:b/>
          <w:sz w:val="28"/>
        </w:rPr>
        <w:lastRenderedPageBreak/>
        <w:t>12. Future Research Directions</w:t>
      </w:r>
    </w:p>
    <w:p w14:paraId="034D8DFE" w14:textId="77777777" w:rsidR="00967D98" w:rsidRDefault="00000000">
      <w:pPr>
        <w:pStyle w:val="ListBullet"/>
        <w:spacing w:after="0"/>
      </w:pPr>
      <w:r>
        <w:t>Develop a FHIR-first interoperability gateway for multiple hospital and clinic systems.</w:t>
      </w:r>
    </w:p>
    <w:p w14:paraId="514CF58E" w14:textId="77777777" w:rsidR="00967D98" w:rsidRDefault="00000000">
      <w:pPr>
        <w:pStyle w:val="ListBullet"/>
        <w:spacing w:after="0"/>
      </w:pPr>
      <w:r>
        <w:t>Use terminology services and ontology-based mapping for semantic consistency.</w:t>
      </w:r>
    </w:p>
    <w:p w14:paraId="10752FD8" w14:textId="77777777" w:rsidR="00967D98" w:rsidRDefault="00000000">
      <w:pPr>
        <w:pStyle w:val="ListBullet"/>
        <w:spacing w:after="0"/>
      </w:pPr>
      <w:r>
        <w:t>Develop privacy-preserving patient identity matching.</w:t>
      </w:r>
    </w:p>
    <w:p w14:paraId="7AB9211F" w14:textId="77777777" w:rsidR="00967D98" w:rsidRDefault="00000000">
      <w:pPr>
        <w:pStyle w:val="ListBullet"/>
        <w:spacing w:after="0"/>
      </w:pPr>
      <w:r>
        <w:t>Implement fine-grained, time-limited and revocable patient consent.</w:t>
      </w:r>
    </w:p>
    <w:p w14:paraId="2B38902F" w14:textId="77777777" w:rsidR="00967D98" w:rsidRDefault="00000000">
      <w:pPr>
        <w:pStyle w:val="ListBullet"/>
        <w:spacing w:after="0"/>
      </w:pPr>
      <w:r>
        <w:t>Add provenance-aware duplicate and conflict resolution.</w:t>
      </w:r>
    </w:p>
    <w:p w14:paraId="34002089" w14:textId="77777777" w:rsidR="00967D98" w:rsidRDefault="00000000">
      <w:pPr>
        <w:pStyle w:val="ListBullet"/>
        <w:spacing w:after="0"/>
      </w:pPr>
      <w:r>
        <w:t>Investigate privacy-preserving analytics over aggregated records.</w:t>
      </w:r>
    </w:p>
    <w:p w14:paraId="03ECE9DC" w14:textId="77777777" w:rsidR="00967D98" w:rsidRDefault="00000000">
      <w:pPr>
        <w:pStyle w:val="ListBullet"/>
        <w:spacing w:after="0"/>
      </w:pPr>
      <w:r>
        <w:t>Use zero-trust and continuous authorization for healthcare APIs.</w:t>
      </w:r>
    </w:p>
    <w:p w14:paraId="32D45857" w14:textId="77777777" w:rsidR="00967D98" w:rsidRDefault="00000000">
      <w:pPr>
        <w:pStyle w:val="ListBullet"/>
        <w:spacing w:after="0"/>
      </w:pPr>
      <w:r>
        <w:t>Implement audited break-glass emergency access.</w:t>
      </w:r>
    </w:p>
    <w:p w14:paraId="174DDD05" w14:textId="77777777" w:rsidR="00967D98" w:rsidRDefault="00000000">
      <w:pPr>
        <w:pStyle w:val="ListBullet"/>
        <w:spacing w:after="0"/>
      </w:pPr>
      <w:r>
        <w:t>Create automated data-quality scoring before records appear in the patient timeline.</w:t>
      </w:r>
    </w:p>
    <w:p w14:paraId="2124D35F" w14:textId="77777777" w:rsidR="00967D98" w:rsidRDefault="00000000">
      <w:pPr>
        <w:pStyle w:val="ListBullet"/>
        <w:spacing w:after="0"/>
      </w:pPr>
      <w:r>
        <w:t>Evaluate with synthetic/de-identified multi-provider FHIR datasets and test servers.</w:t>
      </w:r>
    </w:p>
    <w:p w14:paraId="1CCDB317" w14:textId="77777777" w:rsidR="00967D98" w:rsidRDefault="00000000">
      <w:pPr>
        <w:pStyle w:val="ListBullet"/>
        <w:spacing w:after="0"/>
      </w:pPr>
      <w:r>
        <w:t>Conduct usability studies with patients and healthcare providers.</w:t>
      </w:r>
    </w:p>
    <w:p w14:paraId="1A5C2916" w14:textId="77777777" w:rsidR="00967D98" w:rsidRDefault="00000000">
      <w:pPr>
        <w:pStyle w:val="ListBullet"/>
        <w:spacing w:after="0"/>
      </w:pPr>
      <w:r>
        <w:t>Measure effects on duplicate tests, information retrieval time and continuity of care.</w:t>
      </w:r>
    </w:p>
    <w:p w14:paraId="5CA0FF84" w14:textId="77777777" w:rsidR="00967D98" w:rsidRDefault="00000000">
      <w:r>
        <w:rPr>
          <w:b/>
          <w:sz w:val="28"/>
        </w:rPr>
        <w:t>13. Critical Analysis</w:t>
      </w:r>
    </w:p>
    <w:p w14:paraId="27775295" w14:textId="77777777" w:rsidR="00967D98" w:rsidRDefault="00000000">
      <w:r>
        <w:t>The literature indicates that no single technology solves healthcare interoperability. FHIR provides a strong modern exchange mechanism, but structural interoperability must be complemented by semantic mapping, patient identity management, consent, security, governance and data-quality controls. PHR studies emphasize patient control and usability, while EHR/HIE studies show potential benefits but heterogeneous outcomes. Recent patient-portal interoperability research also shows that complete cross-site access remains uncommon.</w:t>
      </w:r>
    </w:p>
    <w:p w14:paraId="27A7D9A0" w14:textId="77777777" w:rsidR="00967D98" w:rsidRDefault="00000000">
      <w:r>
        <w:t>Therefore, the assigned problem is best treated as an integrated systems research problem rather than simply an API-development problem. The proposed system should be evaluated across provider connection, acquisition, validation, identity matching, semantic normalization, secure storage, consent-based sharing, dashboard presentation, auditability and emergency access.</w:t>
      </w:r>
    </w:p>
    <w:p w14:paraId="6D548B24" w14:textId="77777777" w:rsidR="00967D98" w:rsidRDefault="00000000">
      <w:r>
        <w:rPr>
          <w:b/>
          <w:sz w:val="28"/>
        </w:rPr>
        <w:t>14. Conclusion</w:t>
      </w:r>
    </w:p>
    <w:p w14:paraId="5F6AD0DF" w14:textId="77777777" w:rsidR="00967D98" w:rsidRDefault="00000000">
      <w:r>
        <w:t>This literature survey reviewed research on personal health records, interoperable EHRs/HIEs, patient portals, HL7 FHIR and semantic interoperability. The studies consistently identify interoperability, privacy/security, data quality, usability, patient identification and governance as important challenges. FHIR is a strong foundation, but it does not alone resolve semantic differences, patient matching, consent policies or organizational barriers.</w:t>
      </w:r>
    </w:p>
    <w:p w14:paraId="1FDBF153" w14:textId="77777777" w:rsidR="00967D98" w:rsidRDefault="00000000">
      <w:r>
        <w:t>For Problem Statement 17, the major research opportunity is a secure patient-owned PHR Aggregator combining FHIR integration, terminology normalization, privacy-preserving identity resolution, fine-grained consent, provenance, duplicate/conflict handling, emergency access and measurable end-to-end evaluation.</w:t>
      </w:r>
    </w:p>
    <w:p w14:paraId="53C5CFB9" w14:textId="77777777" w:rsidR="00967D98" w:rsidRDefault="00000000">
      <w:r>
        <w:rPr>
          <w:b/>
          <w:sz w:val="28"/>
        </w:rPr>
        <w:t>15. References</w:t>
      </w:r>
    </w:p>
    <w:p w14:paraId="66BECC7D" w14:textId="77777777" w:rsidR="00967D98" w:rsidRDefault="00000000">
      <w:r>
        <w:t>1. Harahap, N. C., Handayani, P. W., &amp; Hidayanto, A. N. (2021). Functionalities and Issues in the Implementation of Personal Health Records: Systematic Review. Journal of Medical Internet Research, 23(7), e26236. DOI: 10.2196/26236.</w:t>
      </w:r>
    </w:p>
    <w:p w14:paraId="40B7C0E9" w14:textId="77777777" w:rsidR="00967D98" w:rsidRDefault="00000000">
      <w:r>
        <w:t>2. Adler-Milstein, J., et al. (2019). Interoperable Electronic Health Records and Health Information Exchanges: Systematic Review. Journal of Medical Internet Research.</w:t>
      </w:r>
    </w:p>
    <w:p w14:paraId="64707AE4" w14:textId="77777777" w:rsidR="00967D98" w:rsidRDefault="00000000">
      <w:r>
        <w:t>3. Lehne, M., et al. (2019). The Use of FHIR in Healthcare Data Exchange: Systematic Literature Review.</w:t>
      </w:r>
    </w:p>
    <w:p w14:paraId="4A276B46" w14:textId="77777777" w:rsidR="00967D98" w:rsidRDefault="00000000">
      <w:r>
        <w:t>4. Hughes, M., et al. (2024). Key Interoperability Factors for Patient Portals and Electronic Health Records: A Scoping Review. International Journal of Medical Informatics, 105335. DOI: 10.1016/j.ijmedinf.2023.105335.</w:t>
      </w:r>
    </w:p>
    <w:p w14:paraId="654B2C3A" w14:textId="77777777" w:rsidR="00967D98" w:rsidRDefault="00000000">
      <w:r>
        <w:t>5. Ayaz, M., et al. (2021). The Fast Healthcare Interoperability Resources (FHIR) Standard: Systematic Literature Review of Implementations, Applications, Challenges and Opportunities.</w:t>
      </w:r>
    </w:p>
    <w:p w14:paraId="0FEC9812" w14:textId="77777777" w:rsidR="00967D98" w:rsidRDefault="00000000">
      <w:r>
        <w:lastRenderedPageBreak/>
        <w:t>6. Otte-Trojel, T., et al. (2016). What do we know about developing patient portals? A systematic literature review.</w:t>
      </w:r>
    </w:p>
    <w:p w14:paraId="0292ACB4" w14:textId="77777777" w:rsidR="00967D98" w:rsidRDefault="00000000">
      <w:r>
        <w:t>7. Irizarry, T., DeVito Dabbs, A., &amp; Curran, C. R. (2017). Personal Health Records: A Systematic Literature Review.</w:t>
      </w:r>
    </w:p>
    <w:p w14:paraId="4FF837C7" w14:textId="77777777" w:rsidR="00967D98" w:rsidRDefault="00000000">
      <w:r>
        <w:t>8. Kruse, C. S., et al. (2018). Barriers, Facilitators, and Solutions to Optimal Patient Portal and Personal Health Record Use: A Systematic Review of the Literature.</w:t>
      </w:r>
    </w:p>
    <w:p w14:paraId="0080A497" w14:textId="77777777" w:rsidR="00967D98" w:rsidRDefault="00000000">
      <w:r>
        <w:t>9. de Mello, B. H., et al. (2024). Electronic Health Record and Semantic Issues Using Fast Healthcare Interoperability Resources: Systematic Mapping Review. Journal of Medical Internet Research, 26, e45209. DOI: 10.2196/45209.</w:t>
      </w:r>
    </w:p>
    <w:p w14:paraId="6236F06C" w14:textId="77777777" w:rsidR="00967D98" w:rsidRDefault="00000000">
      <w:r>
        <w:rPr>
          <w:b/>
          <w:sz w:val="28"/>
        </w:rPr>
        <w:t>16. Verified Online Evidence</w:t>
      </w:r>
    </w:p>
    <w:p w14:paraId="70B24895" w14:textId="77777777" w:rsidR="00967D98" w:rsidRDefault="00000000">
      <w:r>
        <w:t>The literature claims in this report were checked against scholarly records and full-text sources. The PHR review reports 105 selected articles and identifies interoperability, security/privacy, usability, data quality and personalization as key issues. The iEHR/HIE review synthesized 130 articles and 522 outcomes. The patient-portal interoperability review screened 3,462 studies and included 34 across 11 countries. The FHIR implementation review included 80 studies from 8,181 identified records, and the 2024 semantic interoperability mapping review analyzed 70 FHIR studies.</w:t>
      </w:r>
    </w:p>
    <w:sectPr w:rsidR="00967D98"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6F6DB" w14:textId="77777777" w:rsidR="00114DA7" w:rsidRDefault="00114DA7">
      <w:pPr>
        <w:spacing w:after="0" w:line="240" w:lineRule="auto"/>
      </w:pPr>
      <w:r>
        <w:separator/>
      </w:r>
    </w:p>
  </w:endnote>
  <w:endnote w:type="continuationSeparator" w:id="0">
    <w:p w14:paraId="32CABB00" w14:textId="77777777" w:rsidR="00114DA7" w:rsidRDefault="00114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AEAC8" w14:textId="77777777" w:rsidR="00967D98" w:rsidRDefault="00000000">
    <w:pPr>
      <w:pStyle w:val="Footer"/>
      <w:jc w:val="center"/>
    </w:pPr>
    <w:r>
      <w:rPr>
        <w:sz w:val="16"/>
      </w:rPr>
      <w:t>Personal Health Record Aggregator – Literature Survey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8D411" w14:textId="77777777" w:rsidR="00114DA7" w:rsidRDefault="00114DA7">
      <w:pPr>
        <w:spacing w:after="0" w:line="240" w:lineRule="auto"/>
      </w:pPr>
      <w:r>
        <w:separator/>
      </w:r>
    </w:p>
  </w:footnote>
  <w:footnote w:type="continuationSeparator" w:id="0">
    <w:p w14:paraId="3E2D1165" w14:textId="77777777" w:rsidR="00114DA7" w:rsidRDefault="00114D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9277344">
    <w:abstractNumId w:val="8"/>
  </w:num>
  <w:num w:numId="2" w16cid:durableId="1364789919">
    <w:abstractNumId w:val="6"/>
  </w:num>
  <w:num w:numId="3" w16cid:durableId="1471629534">
    <w:abstractNumId w:val="5"/>
  </w:num>
  <w:num w:numId="4" w16cid:durableId="1557009189">
    <w:abstractNumId w:val="4"/>
  </w:num>
  <w:num w:numId="5" w16cid:durableId="197278191">
    <w:abstractNumId w:val="7"/>
  </w:num>
  <w:num w:numId="6" w16cid:durableId="379283296">
    <w:abstractNumId w:val="3"/>
  </w:num>
  <w:num w:numId="7" w16cid:durableId="851182872">
    <w:abstractNumId w:val="2"/>
  </w:num>
  <w:num w:numId="8" w16cid:durableId="1488092582">
    <w:abstractNumId w:val="1"/>
  </w:num>
  <w:num w:numId="9" w16cid:durableId="155197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DA7"/>
    <w:rsid w:val="0015074B"/>
    <w:rsid w:val="0029639D"/>
    <w:rsid w:val="00326F90"/>
    <w:rsid w:val="00634018"/>
    <w:rsid w:val="00967D98"/>
    <w:rsid w:val="00AA1D8D"/>
    <w:rsid w:val="00AA5DB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1EA081"/>
  <w14:defaultImageDpi w14:val="300"/>
  <w15:docId w15:val="{EABAE837-4242-4246-9F91-7098518ED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34018"/>
    <w:rPr>
      <w:color w:val="0000FF" w:themeColor="hyperlink"/>
      <w:u w:val="single"/>
    </w:rPr>
  </w:style>
  <w:style w:type="character" w:styleId="UnresolvedMention">
    <w:name w:val="Unresolved Mention"/>
    <w:basedOn w:val="DefaultParagraphFont"/>
    <w:uiPriority w:val="99"/>
    <w:semiHidden/>
    <w:unhideWhenUsed/>
    <w:rsid w:val="006340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2894</Words>
  <Characters>16502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ullelasomeshkumar@gmail.com</cp:lastModifiedBy>
  <cp:revision>2</cp:revision>
  <dcterms:created xsi:type="dcterms:W3CDTF">2026-08-26T05:44:00Z</dcterms:created>
  <dcterms:modified xsi:type="dcterms:W3CDTF">2026-08-26T05:44:00Z</dcterms:modified>
  <cp:category/>
</cp:coreProperties>
</file>